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left="-420" w:leftChars="-200" w:right="-733" w:rightChars="-349"/>
        <w:jc w:val="center"/>
        <w:rPr>
          <w:rFonts w:hint="eastAsia" w:ascii="楷体" w:hAnsi="楷体" w:eastAsia="楷体" w:cs="楷体"/>
          <w:b/>
          <w:bCs/>
          <w:sz w:val="52"/>
          <w:szCs w:val="52"/>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jc w:val="center"/>
        <w:rPr>
          <w:rFonts w:hint="eastAsia" w:ascii="楷体" w:hAnsi="楷体" w:eastAsia="楷体" w:cs="楷体"/>
          <w:sz w:val="48"/>
          <w:szCs w:val="48"/>
          <w:u w:val="single"/>
        </w:rPr>
      </w:pPr>
      <w:r>
        <w:rPr>
          <w:rFonts w:hint="eastAsia" w:ascii="楷体" w:hAnsi="楷体" w:eastAsia="楷体" w:cs="楷体"/>
          <w:sz w:val="48"/>
          <w:szCs w:val="48"/>
          <w:u w:val="single"/>
        </w:rPr>
        <w:t>联邦工业城 A8 幢厂房更换电梯项目</w:t>
      </w: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jc w:val="center"/>
        <w:rPr>
          <w:rFonts w:hint="eastAsia" w:ascii="楷体" w:hAnsi="楷体" w:eastAsia="楷体" w:cs="楷体"/>
        </w:rPr>
      </w:pPr>
      <w:r>
        <w:rPr>
          <w:rFonts w:hint="eastAsia" w:ascii="楷体" w:hAnsi="楷体" w:eastAsia="楷体" w:cs="楷体"/>
          <w:b/>
          <w:bCs/>
          <w:sz w:val="72"/>
          <w:szCs w:val="72"/>
        </w:rPr>
        <w:t>招 标 文 件</w:t>
      </w:r>
    </w:p>
    <w:p>
      <w:pPr>
        <w:ind w:right="-313" w:rightChars="-149"/>
        <w:rPr>
          <w:rFonts w:hint="eastAsia" w:ascii="楷体" w:hAnsi="楷体" w:eastAsia="楷体" w:cs="楷体"/>
        </w:rPr>
      </w:pPr>
      <w:r>
        <w:rPr>
          <w:rFonts w:hint="eastAsia" w:ascii="楷体" w:hAnsi="楷体" w:eastAsia="楷体" w:cs="楷体"/>
        </w:rPr>
        <w:t xml:space="preserve">         </w:t>
      </w:r>
    </w:p>
    <w:p>
      <w:pPr>
        <w:ind w:right="-313" w:rightChars="-149"/>
        <w:jc w:val="center"/>
        <w:rPr>
          <w:rFonts w:hint="eastAsia" w:ascii="楷体" w:hAnsi="楷体" w:eastAsia="楷体" w:cs="楷体"/>
          <w:sz w:val="36"/>
          <w:szCs w:val="36"/>
        </w:rPr>
      </w:pPr>
      <w:r>
        <w:rPr>
          <w:rFonts w:hint="eastAsia" w:ascii="楷体" w:hAnsi="楷体" w:eastAsia="楷体" w:cs="楷体"/>
          <w:sz w:val="36"/>
          <w:szCs w:val="36"/>
        </w:rPr>
        <w:t>项目编号:HJX20230325-01</w:t>
      </w: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spacing w:line="360" w:lineRule="auto"/>
        <w:ind w:right="-313" w:rightChars="-149"/>
        <w:rPr>
          <w:rFonts w:hint="eastAsia" w:ascii="楷体" w:hAnsi="楷体" w:eastAsia="楷体" w:cs="楷体"/>
          <w:b/>
          <w:bCs/>
          <w:sz w:val="32"/>
          <w:szCs w:val="32"/>
        </w:rPr>
      </w:pPr>
      <w:r>
        <w:rPr>
          <w:rFonts w:hint="eastAsia" w:ascii="楷体" w:hAnsi="楷体" w:eastAsia="楷体" w:cs="楷体"/>
          <w:b/>
          <w:bCs/>
          <w:sz w:val="32"/>
          <w:szCs w:val="32"/>
        </w:rPr>
        <w:t>采购单位名称：</w:t>
      </w:r>
      <w:r>
        <w:rPr>
          <w:rFonts w:hint="eastAsia" w:ascii="楷体" w:hAnsi="楷体" w:eastAsia="楷体" w:cs="楷体"/>
          <w:b/>
          <w:bCs/>
          <w:sz w:val="32"/>
          <w:szCs w:val="32"/>
          <w:u w:val="single"/>
        </w:rPr>
        <w:t>广州市番禺联邦工业城有限公司</w:t>
      </w:r>
    </w:p>
    <w:p>
      <w:pPr>
        <w:spacing w:line="360" w:lineRule="auto"/>
        <w:ind w:right="-313" w:rightChars="-149"/>
        <w:rPr>
          <w:rFonts w:hint="eastAsia" w:ascii="楷体" w:hAnsi="楷体" w:eastAsia="楷体" w:cs="楷体"/>
          <w:b/>
          <w:bCs/>
          <w:sz w:val="32"/>
          <w:szCs w:val="32"/>
        </w:rPr>
      </w:pPr>
      <w:r>
        <w:rPr>
          <w:rFonts w:hint="eastAsia" w:ascii="楷体" w:hAnsi="楷体" w:eastAsia="楷体" w:cs="楷体"/>
          <w:b/>
          <w:bCs/>
          <w:sz w:val="32"/>
          <w:szCs w:val="32"/>
        </w:rPr>
        <w:t>采购代理机构：</w:t>
      </w:r>
      <w:r>
        <w:rPr>
          <w:rFonts w:hint="eastAsia" w:ascii="楷体" w:hAnsi="楷体" w:eastAsia="楷体" w:cs="楷体"/>
          <w:b/>
          <w:bCs/>
          <w:sz w:val="32"/>
          <w:szCs w:val="32"/>
          <w:u w:val="single"/>
        </w:rPr>
        <w:t>广东华建兴工程管理有限公司</w:t>
      </w:r>
    </w:p>
    <w:p>
      <w:pPr>
        <w:spacing w:line="360" w:lineRule="auto"/>
        <w:ind w:right="-313" w:rightChars="-149"/>
        <w:rPr>
          <w:rFonts w:hint="eastAsia" w:ascii="楷体" w:hAnsi="楷体" w:eastAsia="楷体" w:cs="楷体"/>
          <w:b/>
          <w:bCs/>
          <w:sz w:val="32"/>
          <w:szCs w:val="32"/>
        </w:rPr>
      </w:pPr>
      <w:r>
        <w:rPr>
          <w:rFonts w:hint="eastAsia" w:ascii="楷体" w:hAnsi="楷体" w:eastAsia="楷体" w:cs="楷体"/>
          <w:b/>
          <w:bCs/>
          <w:sz w:val="32"/>
          <w:szCs w:val="32"/>
        </w:rPr>
        <w:t>编 制 时 间： 2023年3月</w:t>
      </w:r>
    </w:p>
    <w:p>
      <w:pPr>
        <w:ind w:right="-313" w:rightChars="-149"/>
        <w:rPr>
          <w:rFonts w:hint="eastAsia" w:ascii="楷体" w:hAnsi="楷体" w:eastAsia="楷体" w:cs="楷体"/>
        </w:rPr>
      </w:pPr>
    </w:p>
    <w:p>
      <w:pPr>
        <w:ind w:right="-313" w:rightChars="-149"/>
        <w:rPr>
          <w:rFonts w:hint="eastAsia" w:ascii="楷体" w:hAnsi="楷体" w:eastAsia="楷体" w:cs="楷体"/>
          <w:b/>
          <w:bCs/>
          <w:sz w:val="32"/>
          <w:szCs w:val="32"/>
        </w:rPr>
        <w:sectPr>
          <w:headerReference r:id="rId3" w:type="default"/>
          <w:pgSz w:w="11906" w:h="16838"/>
          <w:pgMar w:top="1440" w:right="1800" w:bottom="1440" w:left="1800" w:header="851" w:footer="992" w:gutter="0"/>
          <w:cols w:space="425" w:num="1"/>
          <w:docGrid w:type="lines" w:linePitch="312" w:charSpace="0"/>
        </w:sectPr>
      </w:pPr>
    </w:p>
    <w:p>
      <w:pPr>
        <w:ind w:right="-313" w:rightChars="-149"/>
        <w:jc w:val="center"/>
        <w:rPr>
          <w:rFonts w:hint="eastAsia" w:ascii="楷体" w:hAnsi="楷体" w:eastAsia="楷体" w:cs="楷体"/>
          <w:sz w:val="24"/>
        </w:rPr>
      </w:pPr>
      <w:r>
        <w:rPr>
          <w:rFonts w:hint="eastAsia" w:ascii="楷体" w:hAnsi="楷体" w:eastAsia="楷体" w:cs="楷体"/>
          <w:b/>
          <w:bCs/>
          <w:sz w:val="24"/>
        </w:rPr>
        <w:t>温馨提示</w:t>
      </w:r>
    </w:p>
    <w:p>
      <w:pPr>
        <w:ind w:right="-313" w:rightChars="-149"/>
        <w:rPr>
          <w:rFonts w:hint="eastAsia" w:ascii="楷体" w:hAnsi="楷体" w:eastAsia="楷体" w:cs="楷体"/>
          <w:sz w:val="24"/>
        </w:rPr>
      </w:pPr>
      <w:r>
        <w:rPr>
          <w:rFonts w:hint="eastAsia" w:ascii="楷体" w:hAnsi="楷体" w:eastAsia="楷体" w:cs="楷体"/>
          <w:b/>
          <w:bCs/>
          <w:sz w:val="24"/>
        </w:rPr>
        <w:t>（本提示内容非招标文件组成部分，仅为善意提醒。如有不一致，以招标文件为准。）</w:t>
      </w:r>
    </w:p>
    <w:p>
      <w:pPr>
        <w:tabs>
          <w:tab w:val="left" w:pos="0"/>
          <w:tab w:val="left" w:pos="1080"/>
        </w:tabs>
        <w:ind w:firstLine="480" w:firstLineChars="200"/>
        <w:jc w:val="left"/>
        <w:rPr>
          <w:rFonts w:hint="eastAsia" w:ascii="楷体" w:hAnsi="楷体" w:eastAsia="楷体" w:cs="楷体"/>
          <w:sz w:val="24"/>
        </w:rPr>
      </w:pPr>
    </w:p>
    <w:p>
      <w:pPr>
        <w:tabs>
          <w:tab w:val="left" w:pos="0"/>
          <w:tab w:val="left" w:pos="1080"/>
        </w:tabs>
        <w:ind w:firstLine="480" w:firstLineChars="200"/>
        <w:jc w:val="left"/>
        <w:rPr>
          <w:rFonts w:hint="eastAsia" w:ascii="楷体" w:hAnsi="楷体" w:eastAsia="楷体" w:cs="楷体"/>
          <w:sz w:val="24"/>
        </w:rPr>
      </w:pPr>
      <w:r>
        <w:rPr>
          <w:rFonts w:hint="eastAsia" w:ascii="楷体" w:hAnsi="楷体" w:eastAsia="楷体" w:cs="楷体"/>
          <w:sz w:val="24"/>
        </w:rPr>
        <w:t>1、请供应商特别留意招标文件上注明的投标截止和开标时间。</w:t>
      </w:r>
    </w:p>
    <w:p>
      <w:pPr>
        <w:ind w:right="-313" w:rightChars="-149" w:firstLine="480" w:firstLineChars="200"/>
        <w:jc w:val="left"/>
        <w:rPr>
          <w:rFonts w:hint="eastAsia" w:ascii="楷体" w:hAnsi="楷体" w:eastAsia="楷体" w:cs="楷体"/>
          <w:sz w:val="24"/>
        </w:rPr>
      </w:pPr>
      <w:r>
        <w:rPr>
          <w:rFonts w:hint="eastAsia" w:ascii="楷体" w:hAnsi="楷体" w:eastAsia="楷体" w:cs="楷体"/>
          <w:sz w:val="24"/>
        </w:rPr>
        <w:t>2、建议将投标文件按目录格式顺序编制页码。</w:t>
      </w:r>
    </w:p>
    <w:p>
      <w:pPr>
        <w:ind w:firstLine="480" w:firstLineChars="200"/>
        <w:jc w:val="left"/>
        <w:rPr>
          <w:rStyle w:val="26"/>
          <w:rFonts w:hint="eastAsia" w:ascii="楷体" w:hAnsi="楷体" w:eastAsia="楷体" w:cs="楷体"/>
          <w:sz w:val="24"/>
          <w:szCs w:val="24"/>
        </w:rPr>
      </w:pPr>
      <w:r>
        <w:rPr>
          <w:rStyle w:val="26"/>
          <w:rFonts w:hint="eastAsia" w:ascii="楷体" w:hAnsi="楷体" w:eastAsia="楷体" w:cs="楷体"/>
          <w:sz w:val="24"/>
          <w:szCs w:val="24"/>
        </w:rPr>
        <w:t>3、采购代理机构不对供应商进行项目投标登记时提交的相关资料的真实性负责，如供应商发现相关资料被盗用或复制，应遵循法律途径解决，追究侵权者责任。</w:t>
      </w:r>
    </w:p>
    <w:p>
      <w:pPr>
        <w:ind w:firstLine="480" w:firstLineChars="200"/>
        <w:jc w:val="left"/>
        <w:rPr>
          <w:rFonts w:hint="eastAsia" w:ascii="楷体" w:hAnsi="楷体" w:eastAsia="楷体" w:cs="楷体"/>
          <w:sz w:val="24"/>
        </w:rPr>
      </w:pPr>
      <w:r>
        <w:rPr>
          <w:rStyle w:val="26"/>
          <w:rFonts w:hint="eastAsia" w:ascii="楷体" w:hAnsi="楷体" w:eastAsia="楷体" w:cs="楷体"/>
          <w:sz w:val="24"/>
          <w:szCs w:val="24"/>
        </w:rPr>
        <w:t>4、</w:t>
      </w:r>
      <w:r>
        <w:rPr>
          <w:rFonts w:hint="eastAsia" w:ascii="楷体" w:hAnsi="楷体" w:eastAsia="楷体" w:cs="楷体"/>
          <w:sz w:val="24"/>
        </w:rPr>
        <w:t>对一家供应商递交两份不同投标方案的，评标委员会将对其投标按无效投标处理（如有特殊要求的除外）。</w:t>
      </w:r>
    </w:p>
    <w:p>
      <w:pPr>
        <w:ind w:firstLine="480" w:firstLineChars="200"/>
        <w:jc w:val="left"/>
        <w:rPr>
          <w:rFonts w:hint="eastAsia" w:ascii="楷体" w:hAnsi="楷体" w:eastAsia="楷体" w:cs="楷体"/>
          <w:sz w:val="24"/>
        </w:rPr>
      </w:pPr>
    </w:p>
    <w:p>
      <w:pPr>
        <w:tabs>
          <w:tab w:val="left" w:pos="0"/>
          <w:tab w:val="left" w:pos="1080"/>
        </w:tabs>
        <w:ind w:left="420"/>
        <w:rPr>
          <w:rStyle w:val="26"/>
          <w:rFonts w:hint="eastAsia" w:ascii="楷体" w:hAnsi="楷体" w:eastAsia="楷体" w:cs="楷体"/>
          <w:color w:val="000080"/>
          <w:sz w:val="24"/>
          <w:szCs w:val="24"/>
        </w:rPr>
      </w:pPr>
      <w:bookmarkStart w:id="0" w:name="EB803fb8742b3e4181852294c471aca044"/>
      <w:r>
        <w:rPr>
          <w:rStyle w:val="26"/>
          <w:rFonts w:hint="eastAsia" w:ascii="楷体" w:hAnsi="楷体" w:eastAsia="楷体" w:cs="楷体"/>
          <w:color w:val="000080"/>
          <w:sz w:val="24"/>
          <w:szCs w:val="24"/>
        </w:rPr>
        <w:t xml:space="preserve"> </w:t>
      </w:r>
      <w:bookmarkEnd w:id="0"/>
    </w:p>
    <w:p>
      <w:pPr>
        <w:tabs>
          <w:tab w:val="left" w:pos="0"/>
          <w:tab w:val="left" w:pos="1080"/>
        </w:tabs>
        <w:ind w:left="420"/>
        <w:rPr>
          <w:rStyle w:val="26"/>
          <w:rFonts w:hint="eastAsia" w:ascii="楷体" w:hAnsi="楷体" w:eastAsia="楷体" w:cs="楷体"/>
          <w:color w:val="000080"/>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firstLine="480" w:firstLineChars="200"/>
        <w:rPr>
          <w:rStyle w:val="26"/>
          <w:rFonts w:hint="eastAsia" w:ascii="楷体" w:hAnsi="楷体" w:eastAsia="楷体" w:cs="楷体"/>
          <w:sz w:val="24"/>
          <w:szCs w:val="24"/>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snapToGrid w:val="0"/>
        <w:jc w:val="center"/>
        <w:rPr>
          <w:rStyle w:val="16"/>
          <w:rFonts w:hint="eastAsia" w:ascii="楷体" w:hAnsi="楷体" w:eastAsia="楷体" w:cs="楷体"/>
          <w:color w:val="000000"/>
          <w:sz w:val="30"/>
          <w:szCs w:val="30"/>
        </w:rPr>
      </w:pPr>
      <w:r>
        <w:rPr>
          <w:rStyle w:val="16"/>
          <w:rFonts w:hint="eastAsia" w:ascii="楷体" w:hAnsi="楷体" w:eastAsia="楷体" w:cs="楷体"/>
          <w:color w:val="000000"/>
          <w:sz w:val="30"/>
          <w:szCs w:val="30"/>
        </w:rPr>
        <w:t>联邦工业城 A8 幢厂房更换电梯项目（HJX20230325-01）</w:t>
      </w:r>
    </w:p>
    <w:p>
      <w:pPr>
        <w:snapToGrid w:val="0"/>
        <w:jc w:val="center"/>
        <w:rPr>
          <w:rStyle w:val="16"/>
          <w:rFonts w:hint="eastAsia" w:ascii="楷体" w:hAnsi="楷体" w:eastAsia="楷体" w:cs="楷体"/>
          <w:color w:val="000000"/>
          <w:sz w:val="30"/>
          <w:szCs w:val="30"/>
        </w:rPr>
      </w:pPr>
      <w:r>
        <w:rPr>
          <w:rStyle w:val="16"/>
          <w:rFonts w:hint="eastAsia" w:ascii="楷体" w:hAnsi="楷体" w:eastAsia="楷体" w:cs="楷体"/>
          <w:color w:val="000000"/>
          <w:sz w:val="30"/>
          <w:szCs w:val="30"/>
        </w:rPr>
        <w:t>招标公告</w:t>
      </w:r>
    </w:p>
    <w:p>
      <w:pPr>
        <w:snapToGrid w:val="0"/>
        <w:jc w:val="center"/>
        <w:rPr>
          <w:rStyle w:val="16"/>
          <w:rFonts w:hint="eastAsia" w:ascii="楷体" w:hAnsi="楷体" w:eastAsia="楷体" w:cs="楷体"/>
          <w:color w:val="000000"/>
          <w:sz w:val="30"/>
          <w:szCs w:val="30"/>
        </w:rPr>
      </w:pPr>
    </w:p>
    <w:p>
      <w:pPr>
        <w:jc w:val="center"/>
        <w:rPr>
          <w:rFonts w:hint="eastAsia" w:ascii="楷体" w:hAnsi="楷体" w:eastAsia="楷体" w:cs="楷体"/>
          <w:color w:val="000000"/>
          <w:szCs w:val="21"/>
          <w:u w:val="single"/>
        </w:rPr>
      </w:pPr>
      <w:r>
        <w:rPr>
          <w:rFonts w:hint="eastAsia" w:ascii="楷体" w:hAnsi="楷体" w:eastAsia="楷体" w:cs="楷体"/>
          <w:b/>
          <w:bCs/>
          <w:color w:val="000000" w:themeColor="text1"/>
          <w:sz w:val="24"/>
          <w14:textFill>
            <w14:solidFill>
              <w14:schemeClr w14:val="tx1"/>
            </w14:solidFill>
          </w14:textFill>
        </w:rPr>
        <w:t>一  项目概况</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1、项目编号：HJX20230325-01</w:t>
      </w:r>
    </w:p>
    <w:p>
      <w:pPr>
        <w:autoSpaceDE w:val="0"/>
        <w:autoSpaceDN w:val="0"/>
        <w:ind w:firstLine="480" w:firstLineChars="200"/>
        <w:contextualSpacing/>
        <w:rPr>
          <w:rFonts w:hint="eastAsia" w:ascii="楷体" w:hAnsi="楷体" w:eastAsia="楷体" w:cs="楷体"/>
          <w:sz w:val="24"/>
        </w:rPr>
      </w:pPr>
      <w:r>
        <w:rPr>
          <w:rFonts w:hint="eastAsia" w:ascii="楷体" w:hAnsi="楷体" w:eastAsia="楷体" w:cs="楷体"/>
          <w:color w:val="000000"/>
          <w:sz w:val="24"/>
        </w:rPr>
        <w:t>2、项目名称：</w:t>
      </w:r>
      <w:r>
        <w:rPr>
          <w:rFonts w:hint="eastAsia" w:ascii="楷体" w:hAnsi="楷体" w:eastAsia="楷体" w:cs="楷体"/>
          <w:sz w:val="24"/>
        </w:rPr>
        <w:t>联邦工业城 A8 幢厂房更换电梯项目。</w:t>
      </w:r>
    </w:p>
    <w:p>
      <w:pPr>
        <w:ind w:firstLine="480" w:firstLineChars="200"/>
        <w:jc w:val="left"/>
        <w:rPr>
          <w:rFonts w:hint="eastAsia" w:ascii="楷体" w:hAnsi="楷体" w:eastAsia="楷体" w:cs="楷体"/>
          <w:color w:val="000000"/>
          <w:sz w:val="24"/>
        </w:rPr>
      </w:pPr>
      <w:r>
        <w:rPr>
          <w:rFonts w:hint="eastAsia" w:ascii="楷体" w:hAnsi="楷体" w:eastAsia="楷体" w:cs="楷体"/>
          <w:bCs/>
          <w:color w:val="000000" w:themeColor="text1"/>
          <w:sz w:val="24"/>
          <w14:textFill>
            <w14:solidFill>
              <w14:schemeClr w14:val="tx1"/>
            </w14:solidFill>
          </w14:textFill>
        </w:rPr>
        <w:t>3、预算金额：人民币</w:t>
      </w:r>
      <w:r>
        <w:rPr>
          <w:rFonts w:hint="eastAsia" w:ascii="楷体" w:hAnsi="楷体" w:eastAsia="楷体" w:cs="楷体"/>
          <w:sz w:val="24"/>
        </w:rPr>
        <w:t>320,540.00</w:t>
      </w:r>
      <w:r>
        <w:rPr>
          <w:rFonts w:hint="eastAsia" w:ascii="楷体" w:hAnsi="楷体" w:eastAsia="楷体" w:cs="楷体"/>
          <w:color w:val="000000"/>
          <w:sz w:val="24"/>
        </w:rPr>
        <w:t>元。</w:t>
      </w:r>
    </w:p>
    <w:p>
      <w:pPr>
        <w:ind w:firstLine="480" w:firstLineChars="200"/>
        <w:jc w:val="left"/>
        <w:rPr>
          <w:rFonts w:hint="eastAsia" w:ascii="楷体" w:hAnsi="楷体" w:eastAsia="楷体" w:cs="楷体"/>
          <w:color w:val="000000"/>
          <w:sz w:val="24"/>
        </w:rPr>
      </w:pPr>
      <w:r>
        <w:rPr>
          <w:rFonts w:hint="eastAsia" w:ascii="楷体" w:hAnsi="楷体" w:eastAsia="楷体" w:cs="楷体"/>
          <w:color w:val="000000"/>
          <w:sz w:val="24"/>
        </w:rPr>
        <w:t>4、最高限价：人民币</w:t>
      </w:r>
      <w:r>
        <w:rPr>
          <w:rFonts w:hint="eastAsia" w:ascii="楷体" w:hAnsi="楷体" w:eastAsia="楷体" w:cs="楷体"/>
          <w:sz w:val="24"/>
        </w:rPr>
        <w:t>320,540.00</w:t>
      </w:r>
      <w:r>
        <w:rPr>
          <w:rFonts w:hint="eastAsia" w:ascii="楷体" w:hAnsi="楷体" w:eastAsia="楷体" w:cs="楷体"/>
          <w:color w:val="000000"/>
          <w:sz w:val="24"/>
        </w:rPr>
        <w:t>元。</w:t>
      </w:r>
    </w:p>
    <w:p>
      <w:pPr>
        <w:ind w:firstLine="480" w:firstLineChars="200"/>
        <w:rPr>
          <w:rFonts w:hint="eastAsia" w:ascii="楷体" w:hAnsi="楷体" w:eastAsia="楷体" w:cs="楷体"/>
          <w:sz w:val="24"/>
        </w:rPr>
      </w:pPr>
      <w:r>
        <w:rPr>
          <w:rFonts w:hint="eastAsia" w:ascii="楷体" w:hAnsi="楷体" w:eastAsia="楷体" w:cs="楷体"/>
          <w:bCs/>
          <w:color w:val="000000" w:themeColor="text1"/>
          <w:sz w:val="24"/>
          <w14:textFill>
            <w14:solidFill>
              <w14:schemeClr w14:val="tx1"/>
            </w14:solidFill>
          </w14:textFill>
        </w:rPr>
        <w:t>5、</w:t>
      </w:r>
      <w:r>
        <w:rPr>
          <w:rFonts w:hint="eastAsia" w:ascii="楷体" w:hAnsi="楷体" w:eastAsia="楷体" w:cs="楷体"/>
          <w:color w:val="000000"/>
          <w:sz w:val="24"/>
        </w:rPr>
        <w:t>服务期限：自合同签订之日起</w:t>
      </w:r>
      <w:r>
        <w:rPr>
          <w:rFonts w:hint="eastAsia" w:ascii="楷体" w:hAnsi="楷体" w:eastAsia="楷体" w:cs="楷体"/>
          <w:sz w:val="24"/>
        </w:rPr>
        <w:t>60日历天</w:t>
      </w:r>
    </w:p>
    <w:p>
      <w:pPr>
        <w:ind w:firstLine="480" w:firstLineChars="200"/>
        <w:rPr>
          <w:rFonts w:hint="eastAsia" w:ascii="楷体" w:hAnsi="楷体" w:eastAsia="楷体" w:cs="楷体"/>
          <w:sz w:val="24"/>
        </w:rPr>
      </w:pPr>
      <w:r>
        <w:rPr>
          <w:rFonts w:hint="eastAsia" w:ascii="楷体" w:hAnsi="楷体" w:eastAsia="楷体" w:cs="楷体"/>
          <w:sz w:val="24"/>
        </w:rPr>
        <w:t>6、</w:t>
      </w:r>
      <w:r>
        <w:rPr>
          <w:rFonts w:hint="eastAsia" w:ascii="楷体" w:hAnsi="楷体" w:eastAsia="楷体" w:cs="楷体"/>
          <w:color w:val="000000"/>
          <w:sz w:val="24"/>
        </w:rPr>
        <w:t>服务要求：</w:t>
      </w:r>
      <w:r>
        <w:rPr>
          <w:rFonts w:hint="eastAsia" w:ascii="楷体" w:hAnsi="楷体" w:eastAsia="楷体" w:cs="楷体"/>
          <w:sz w:val="24"/>
        </w:rPr>
        <w:t>详见采购文件。</w:t>
      </w:r>
    </w:p>
    <w:p>
      <w:pPr>
        <w:ind w:firstLine="480" w:firstLineChars="200"/>
        <w:rPr>
          <w:rFonts w:hint="eastAsia" w:ascii="楷体" w:hAnsi="楷体" w:eastAsia="楷体" w:cs="楷体"/>
          <w:sz w:val="24"/>
        </w:rPr>
      </w:pPr>
    </w:p>
    <w:p>
      <w:pPr>
        <w:autoSpaceDE w:val="0"/>
        <w:autoSpaceDN w:val="0"/>
        <w:contextualSpacing/>
        <w:jc w:val="center"/>
        <w:rPr>
          <w:rFonts w:hint="eastAsia" w:ascii="楷体" w:hAnsi="楷体" w:eastAsia="楷体" w:cs="楷体"/>
          <w:color w:val="000000"/>
          <w:sz w:val="24"/>
        </w:rPr>
      </w:pPr>
      <w:r>
        <w:rPr>
          <w:rFonts w:hint="eastAsia" w:ascii="楷体" w:hAnsi="楷体" w:eastAsia="楷体" w:cs="楷体"/>
          <w:b/>
          <w:bCs/>
          <w:color w:val="000000" w:themeColor="text1"/>
          <w:sz w:val="24"/>
          <w14:textFill>
            <w14:solidFill>
              <w14:schemeClr w14:val="tx1"/>
            </w14:solidFill>
          </w14:textFill>
        </w:rPr>
        <w:t>二  供应商资格要求</w:t>
      </w:r>
    </w:p>
    <w:p>
      <w:pPr>
        <w:ind w:firstLine="480" w:firstLineChars="200"/>
        <w:rPr>
          <w:rFonts w:hint="eastAsia" w:ascii="楷体" w:hAnsi="楷体" w:eastAsia="楷体" w:cs="楷体"/>
          <w:color w:val="000000"/>
          <w:sz w:val="24"/>
        </w:rPr>
      </w:pPr>
      <w:r>
        <w:rPr>
          <w:rFonts w:hint="eastAsia" w:ascii="楷体" w:hAnsi="楷体" w:eastAsia="楷体" w:cs="楷体"/>
          <w:color w:val="000000"/>
          <w:sz w:val="24"/>
        </w:rPr>
        <w:t>（1）</w:t>
      </w:r>
      <w:bookmarkStart w:id="1" w:name="_Hlk11190619"/>
      <w:r>
        <w:rPr>
          <w:rFonts w:hint="eastAsia" w:ascii="楷体" w:hAnsi="楷体" w:eastAsia="楷体" w:cs="楷体"/>
          <w:color w:val="000000"/>
          <w:sz w:val="24"/>
        </w:rPr>
        <w:t>具有独立承担民事责任能力的在中华人民共和国境内注册的法人或其它组织。分支机构响应的，须提供具有法人资格的总公司的营业执照副本复印件及授权书，授权书须加盖总公司公章</w:t>
      </w:r>
      <w:bookmarkEnd w:id="1"/>
      <w:r>
        <w:rPr>
          <w:rFonts w:hint="eastAsia" w:ascii="楷体" w:hAnsi="楷体" w:eastAsia="楷体" w:cs="楷体"/>
          <w:color w:val="000000"/>
          <w:sz w:val="24"/>
        </w:rPr>
        <w:t>；</w:t>
      </w:r>
    </w:p>
    <w:p>
      <w:pPr>
        <w:ind w:firstLine="480" w:firstLineChars="200"/>
        <w:rPr>
          <w:rFonts w:hint="eastAsia" w:ascii="楷体" w:hAnsi="楷体" w:eastAsia="楷体" w:cs="楷体"/>
          <w:color w:val="000000"/>
          <w:sz w:val="24"/>
        </w:rPr>
      </w:pPr>
      <w:r>
        <w:rPr>
          <w:rFonts w:hint="eastAsia" w:ascii="楷体" w:hAnsi="楷体" w:eastAsia="楷体" w:cs="楷体"/>
          <w:color w:val="000000"/>
          <w:sz w:val="24"/>
        </w:rPr>
        <w:t>（2）具有市场监管局核发的《特种设备安装改造维修许可证》；</w:t>
      </w:r>
    </w:p>
    <w:p>
      <w:pPr>
        <w:ind w:firstLine="480" w:firstLineChars="200"/>
        <w:rPr>
          <w:rFonts w:hint="eastAsia" w:ascii="楷体" w:hAnsi="楷体" w:eastAsia="楷体" w:cs="楷体"/>
          <w:color w:val="000000"/>
          <w:sz w:val="24"/>
        </w:rPr>
      </w:pPr>
      <w:r>
        <w:rPr>
          <w:rFonts w:hint="eastAsia" w:ascii="楷体" w:hAnsi="楷体" w:eastAsia="楷体" w:cs="楷体"/>
          <w:color w:val="000000"/>
          <w:sz w:val="24"/>
        </w:rPr>
        <w:t>（3）本项目不接受联合体响应；</w:t>
      </w:r>
    </w:p>
    <w:p>
      <w:pPr>
        <w:ind w:firstLine="480" w:firstLineChars="200"/>
        <w:rPr>
          <w:rFonts w:hint="eastAsia" w:ascii="楷体" w:hAnsi="楷体" w:eastAsia="楷体" w:cs="楷体"/>
          <w:color w:val="000000"/>
          <w:sz w:val="24"/>
        </w:rPr>
      </w:pPr>
      <w:r>
        <w:rPr>
          <w:rFonts w:hint="eastAsia" w:ascii="楷体" w:hAnsi="楷体" w:eastAsia="楷体" w:cs="楷体"/>
          <w:color w:val="000000"/>
          <w:sz w:val="24"/>
        </w:rPr>
        <w:t>（4）已登记并购买了投标通知书。</w:t>
      </w:r>
    </w:p>
    <w:p>
      <w:pPr>
        <w:autoSpaceDE w:val="0"/>
        <w:autoSpaceDN w:val="0"/>
        <w:ind w:firstLine="480" w:firstLineChars="200"/>
        <w:contextualSpacing/>
        <w:rPr>
          <w:rFonts w:hint="eastAsia" w:ascii="楷体" w:hAnsi="楷体" w:eastAsia="楷体" w:cs="楷体"/>
          <w:color w:val="000000"/>
          <w:sz w:val="24"/>
        </w:rPr>
      </w:pPr>
    </w:p>
    <w:p>
      <w:pPr>
        <w:spacing w:line="440" w:lineRule="exact"/>
        <w:jc w:val="center"/>
        <w:rPr>
          <w:rFonts w:hint="eastAsia" w:ascii="楷体" w:hAnsi="楷体" w:eastAsia="楷体" w:cs="楷体"/>
          <w:b/>
          <w:sz w:val="24"/>
        </w:rPr>
      </w:pPr>
      <w:r>
        <w:rPr>
          <w:rFonts w:hint="eastAsia" w:ascii="楷体" w:hAnsi="楷体" w:eastAsia="楷体" w:cs="楷体"/>
          <w:b/>
          <w:bCs/>
          <w:color w:val="000000" w:themeColor="text1"/>
          <w:sz w:val="24"/>
          <w14:textFill>
            <w14:solidFill>
              <w14:schemeClr w14:val="tx1"/>
            </w14:solidFill>
          </w14:textFill>
        </w:rPr>
        <w:t>三  投标登记及获取招标文件</w:t>
      </w:r>
    </w:p>
    <w:p>
      <w:pPr>
        <w:pStyle w:val="5"/>
        <w:tabs>
          <w:tab w:val="left" w:pos="426"/>
        </w:tabs>
        <w:spacing w:line="240" w:lineRule="auto"/>
        <w:ind w:firstLine="480" w:firstLineChars="200"/>
        <w:rPr>
          <w:rFonts w:hint="eastAsia" w:ascii="楷体" w:hAnsi="楷体" w:eastAsia="楷体" w:cs="楷体"/>
          <w:color w:val="000000"/>
          <w:szCs w:val="21"/>
        </w:rPr>
      </w:pPr>
      <w:r>
        <w:rPr>
          <w:rFonts w:hint="eastAsia" w:ascii="楷体" w:hAnsi="楷体" w:eastAsia="楷体" w:cs="楷体"/>
          <w:color w:val="000000"/>
          <w:sz w:val="24"/>
        </w:rPr>
        <w:t>供应商应当在</w:t>
      </w:r>
      <w:r>
        <w:rPr>
          <w:rFonts w:hint="eastAsia" w:ascii="楷体" w:hAnsi="楷体" w:eastAsia="楷体" w:cs="楷体"/>
          <w:color w:val="000000"/>
          <w:sz w:val="24"/>
          <w:u w:val="single"/>
        </w:rPr>
        <w:t>2023年3月28日至2023年4月4日（工作日9:00-11:00，14:30-16:30）到广州市番禺区市桥街清河西路36号三楼广东华建兴工程管理有限公司</w:t>
      </w:r>
      <w:r>
        <w:rPr>
          <w:rFonts w:hint="eastAsia" w:ascii="楷体" w:hAnsi="楷体" w:eastAsia="楷体" w:cs="楷体"/>
          <w:color w:val="000000"/>
          <w:sz w:val="24"/>
        </w:rPr>
        <w:t>完成投标登记并购买招标文件，招标文件每套售价人民币伍佰元（不含税），售后不退。采购代理机构只接受办理投标登记手续并购买本招标文件的供应商投标。</w:t>
      </w:r>
    </w:p>
    <w:p>
      <w:pPr>
        <w:spacing w:line="440" w:lineRule="exact"/>
        <w:jc w:val="center"/>
        <w:rPr>
          <w:rFonts w:hint="eastAsia" w:ascii="楷体" w:hAnsi="楷体" w:eastAsia="楷体" w:cs="楷体"/>
          <w:sz w:val="24"/>
        </w:rPr>
      </w:pPr>
      <w:r>
        <w:rPr>
          <w:rFonts w:hint="eastAsia" w:ascii="楷体" w:hAnsi="楷体" w:eastAsia="楷体" w:cs="楷体"/>
          <w:b/>
          <w:bCs/>
          <w:color w:val="000000" w:themeColor="text1"/>
          <w:sz w:val="24"/>
          <w14:textFill>
            <w14:solidFill>
              <w14:schemeClr w14:val="tx1"/>
            </w14:solidFill>
          </w14:textFill>
        </w:rPr>
        <w:t>四  提交投标文件截止时间、开标时间和地点</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1、提交投标文件时间：</w:t>
      </w:r>
      <w:bookmarkStart w:id="2" w:name="EBfae4a85647d347b3b09b6c5fc07c353f"/>
      <w:r>
        <w:rPr>
          <w:rFonts w:hint="eastAsia" w:ascii="楷体" w:hAnsi="楷体" w:eastAsia="楷体" w:cs="楷体"/>
          <w:color w:val="000000"/>
          <w:sz w:val="24"/>
          <w:u w:val="single"/>
        </w:rPr>
        <w:t>2023年4月18日9:</w:t>
      </w:r>
      <w:bookmarkEnd w:id="2"/>
      <w:r>
        <w:rPr>
          <w:rFonts w:hint="eastAsia" w:ascii="楷体" w:hAnsi="楷体" w:eastAsia="楷体" w:cs="楷体"/>
          <w:color w:val="000000"/>
          <w:sz w:val="24"/>
          <w:u w:val="single"/>
        </w:rPr>
        <w:t>00-9:30</w:t>
      </w:r>
      <w:r>
        <w:rPr>
          <w:rFonts w:hint="eastAsia" w:ascii="楷体" w:hAnsi="楷体" w:eastAsia="楷体" w:cs="楷体"/>
          <w:color w:val="000000"/>
          <w:sz w:val="24"/>
        </w:rPr>
        <w:t>。</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2、提交投标文件截止时间和开标时间：</w:t>
      </w:r>
      <w:r>
        <w:rPr>
          <w:rFonts w:hint="eastAsia" w:ascii="楷体" w:hAnsi="楷体" w:eastAsia="楷体" w:cs="楷体"/>
          <w:color w:val="000000"/>
          <w:sz w:val="24"/>
          <w:u w:val="single"/>
        </w:rPr>
        <w:t>2023年4月18日9:30</w:t>
      </w:r>
      <w:r>
        <w:rPr>
          <w:rFonts w:hint="eastAsia" w:ascii="楷体" w:hAnsi="楷体" w:eastAsia="楷体" w:cs="楷体"/>
          <w:color w:val="000000"/>
          <w:sz w:val="24"/>
        </w:rPr>
        <w:t>。</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3、投标文件送达地点：</w:t>
      </w:r>
      <w:r>
        <w:rPr>
          <w:rFonts w:hint="eastAsia" w:ascii="楷体" w:hAnsi="楷体" w:eastAsia="楷体" w:cs="楷体"/>
          <w:color w:val="000000"/>
          <w:sz w:val="24"/>
          <w:u w:val="single"/>
        </w:rPr>
        <w:t>广州市番禺区市桥街清河西路36号三楼会议室</w:t>
      </w:r>
      <w:r>
        <w:rPr>
          <w:rFonts w:hint="eastAsia" w:ascii="楷体" w:hAnsi="楷体" w:eastAsia="楷体" w:cs="楷体"/>
          <w:color w:val="000000"/>
          <w:sz w:val="24"/>
        </w:rPr>
        <w:t>。</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4、开标地点：</w:t>
      </w:r>
      <w:r>
        <w:rPr>
          <w:rFonts w:hint="eastAsia" w:ascii="楷体" w:hAnsi="楷体" w:eastAsia="楷体" w:cs="楷体"/>
          <w:color w:val="000000"/>
          <w:sz w:val="24"/>
          <w:u w:val="single"/>
        </w:rPr>
        <w:t>广州市番禺区市桥街清河西路36号三楼会议室</w:t>
      </w:r>
      <w:r>
        <w:rPr>
          <w:rFonts w:hint="eastAsia" w:ascii="楷体" w:hAnsi="楷体" w:eastAsia="楷体" w:cs="楷体"/>
          <w:color w:val="000000"/>
          <w:sz w:val="24"/>
        </w:rPr>
        <w:t>。</w:t>
      </w:r>
    </w:p>
    <w:p>
      <w:pPr>
        <w:autoSpaceDE w:val="0"/>
        <w:autoSpaceDN w:val="0"/>
        <w:contextualSpacing/>
        <w:rPr>
          <w:rFonts w:hint="eastAsia" w:ascii="楷体" w:hAnsi="楷体" w:eastAsia="楷体" w:cs="楷体"/>
          <w:color w:val="000000"/>
          <w:sz w:val="24"/>
        </w:rPr>
      </w:pPr>
    </w:p>
    <w:p>
      <w:pPr>
        <w:spacing w:line="440" w:lineRule="exact"/>
        <w:jc w:val="center"/>
        <w:rPr>
          <w:rFonts w:hint="eastAsia" w:ascii="楷体" w:hAnsi="楷体" w:eastAsia="楷体" w:cs="楷体"/>
          <w:b/>
          <w:bCs/>
          <w:color w:val="000000" w:themeColor="text1"/>
          <w:sz w:val="24"/>
          <w14:textFill>
            <w14:solidFill>
              <w14:schemeClr w14:val="tx1"/>
            </w14:solidFill>
          </w14:textFill>
        </w:rPr>
      </w:pPr>
      <w:r>
        <w:rPr>
          <w:rFonts w:hint="eastAsia" w:ascii="楷体" w:hAnsi="楷体" w:eastAsia="楷体" w:cs="楷体"/>
          <w:b/>
          <w:bCs/>
          <w:color w:val="000000" w:themeColor="text1"/>
          <w:sz w:val="24"/>
          <w14:textFill>
            <w14:solidFill>
              <w14:schemeClr w14:val="tx1"/>
            </w14:solidFill>
          </w14:textFill>
        </w:rPr>
        <w:t>五  公告期限</w:t>
      </w:r>
    </w:p>
    <w:p>
      <w:pPr>
        <w:spacing w:line="440" w:lineRule="exact"/>
        <w:ind w:firstLine="480" w:firstLineChars="200"/>
        <w:rPr>
          <w:rFonts w:hint="eastAsia" w:ascii="楷体" w:hAnsi="楷体" w:eastAsia="楷体" w:cs="楷体"/>
          <w:sz w:val="24"/>
        </w:rPr>
      </w:pPr>
      <w:r>
        <w:rPr>
          <w:rFonts w:hint="eastAsia" w:ascii="楷体" w:hAnsi="楷体" w:eastAsia="楷体" w:cs="楷体"/>
          <w:color w:val="000000"/>
          <w:sz w:val="24"/>
        </w:rPr>
        <w:t>自本公告发布之日起5个工作日</w:t>
      </w:r>
      <w:r>
        <w:rPr>
          <w:rFonts w:hint="eastAsia" w:ascii="楷体" w:hAnsi="楷体" w:eastAsia="楷体" w:cs="楷体"/>
          <w:sz w:val="24"/>
          <w:highlight w:val="white"/>
        </w:rPr>
        <w:t>。</w:t>
      </w:r>
    </w:p>
    <w:p>
      <w:pPr>
        <w:spacing w:line="440" w:lineRule="exact"/>
        <w:jc w:val="center"/>
        <w:rPr>
          <w:rFonts w:hint="eastAsia" w:ascii="楷体" w:hAnsi="楷体" w:eastAsia="楷体" w:cs="楷体"/>
          <w:b/>
          <w:sz w:val="24"/>
        </w:rPr>
      </w:pPr>
      <w:r>
        <w:rPr>
          <w:rFonts w:hint="eastAsia" w:ascii="楷体" w:hAnsi="楷体" w:eastAsia="楷体" w:cs="楷体"/>
          <w:b/>
          <w:bCs/>
          <w:color w:val="000000" w:themeColor="text1"/>
          <w:sz w:val="24"/>
          <w14:textFill>
            <w14:solidFill>
              <w14:schemeClr w14:val="tx1"/>
            </w14:solidFill>
          </w14:textFill>
        </w:rPr>
        <w:t>六  其他补充事宜</w:t>
      </w:r>
    </w:p>
    <w:p>
      <w:pPr>
        <w:autoSpaceDE w:val="0"/>
        <w:autoSpaceDN w:val="0"/>
        <w:ind w:firstLine="480" w:firstLineChars="200"/>
        <w:contextualSpacing/>
        <w:rPr>
          <w:rFonts w:hint="eastAsia" w:ascii="楷体" w:hAnsi="楷体" w:eastAsia="楷体" w:cs="楷体"/>
          <w:color w:val="000000"/>
          <w:sz w:val="24"/>
        </w:rPr>
      </w:pPr>
      <w:bookmarkStart w:id="3" w:name="EB7e806bfd140b45c98df92d59a3807eef"/>
      <w:r>
        <w:rPr>
          <w:rFonts w:hint="eastAsia" w:ascii="楷体" w:hAnsi="楷体" w:eastAsia="楷体" w:cs="楷体"/>
          <w:color w:val="000000"/>
          <w:sz w:val="24"/>
        </w:rPr>
        <w:t>本次招标项目公告等相关信息在以下媒体公布,并视为有效送达，不再另行通知。本招标项目不需要现场考察。本项目不需要现场招标答疑会。如有任何疑问请以书面形式至采购代理机构释疑。</w:t>
      </w:r>
    </w:p>
    <w:p>
      <w:pPr>
        <w:autoSpaceDE w:val="0"/>
        <w:autoSpaceDN w:val="0"/>
        <w:ind w:left="420" w:leftChars="200"/>
        <w:contextualSpacing/>
        <w:jc w:val="left"/>
        <w:rPr>
          <w:rFonts w:hint="eastAsia" w:ascii="楷体" w:hAnsi="楷体" w:eastAsia="楷体" w:cs="楷体"/>
          <w:color w:val="000000"/>
          <w:sz w:val="24"/>
        </w:rPr>
      </w:pPr>
      <w:r>
        <w:rPr>
          <w:rFonts w:hint="eastAsia" w:ascii="楷体" w:hAnsi="楷体" w:eastAsia="楷体" w:cs="楷体"/>
          <w:color w:val="000000"/>
          <w:sz w:val="24"/>
          <w:u w:val="single"/>
        </w:rPr>
        <w:t>广东华建兴工程管理有限公司网站</w:t>
      </w:r>
      <w:r>
        <w:rPr>
          <w:rFonts w:hint="eastAsia" w:ascii="楷体" w:hAnsi="楷体" w:eastAsia="楷体" w:cs="楷体"/>
          <w:color w:val="000000"/>
          <w:sz w:val="24"/>
        </w:rPr>
        <w:t>（http://gzhjxjlcom.p2016112601.junyushop.com/）</w:t>
      </w:r>
      <w:bookmarkEnd w:id="3"/>
    </w:p>
    <w:p>
      <w:pPr>
        <w:autoSpaceDE w:val="0"/>
        <w:autoSpaceDN w:val="0"/>
        <w:contextualSpacing/>
        <w:rPr>
          <w:rFonts w:hint="eastAsia" w:ascii="楷体" w:hAnsi="楷体" w:eastAsia="楷体" w:cs="楷体"/>
          <w:color w:val="000000"/>
          <w:sz w:val="24"/>
        </w:rPr>
      </w:pPr>
      <w:r>
        <w:rPr>
          <w:rFonts w:hint="eastAsia" w:ascii="楷体" w:hAnsi="楷体" w:eastAsia="楷体" w:cs="楷体"/>
          <w:color w:val="000000"/>
          <w:sz w:val="24"/>
        </w:rPr>
        <w:t xml:space="preserve">  </w:t>
      </w:r>
    </w:p>
    <w:p>
      <w:pPr>
        <w:spacing w:line="440" w:lineRule="exact"/>
        <w:jc w:val="center"/>
        <w:rPr>
          <w:rFonts w:hint="eastAsia" w:ascii="楷体" w:hAnsi="楷体" w:eastAsia="楷体" w:cs="楷体"/>
          <w:b/>
          <w:bCs/>
          <w:color w:val="000000" w:themeColor="text1"/>
          <w:sz w:val="24"/>
          <w14:textFill>
            <w14:solidFill>
              <w14:schemeClr w14:val="tx1"/>
            </w14:solidFill>
          </w14:textFill>
        </w:rPr>
      </w:pPr>
      <w:r>
        <w:rPr>
          <w:rFonts w:hint="eastAsia" w:ascii="楷体" w:hAnsi="楷体" w:eastAsia="楷体" w:cs="楷体"/>
          <w:b/>
          <w:bCs/>
          <w:color w:val="000000" w:themeColor="text1"/>
          <w:sz w:val="24"/>
          <w14:textFill>
            <w14:solidFill>
              <w14:schemeClr w14:val="tx1"/>
            </w14:solidFill>
          </w14:textFill>
        </w:rPr>
        <w:t>七  对本次招标提出询问，请按以下方式联系</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1、采购人：</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名称：广州市番禺联邦工业城有限公司</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地址：广州市番禺区沙头街禺山西路363号</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办公时间：</w:t>
      </w:r>
      <w:r>
        <w:rPr>
          <w:rFonts w:hint="eastAsia" w:ascii="楷体" w:hAnsi="楷体" w:eastAsia="楷体" w:cs="楷体"/>
          <w:color w:val="000000"/>
          <w:sz w:val="24"/>
          <w:u w:val="single"/>
        </w:rPr>
        <w:t>工作日9:00-11:00，14:30-16:30</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 xml:space="preserve">2、采购代理机构： </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名称：</w:t>
      </w:r>
      <w:r>
        <w:rPr>
          <w:rFonts w:hint="eastAsia" w:ascii="楷体" w:hAnsi="楷体" w:eastAsia="楷体" w:cs="楷体"/>
          <w:color w:val="000000"/>
          <w:sz w:val="24"/>
          <w:u w:val="single"/>
        </w:rPr>
        <w:t>广东华建兴工程管理有限公司</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地址：</w:t>
      </w:r>
      <w:r>
        <w:rPr>
          <w:rFonts w:hint="eastAsia" w:ascii="楷体" w:hAnsi="楷体" w:eastAsia="楷体" w:cs="楷体"/>
          <w:color w:val="000000"/>
          <w:sz w:val="24"/>
          <w:u w:val="single"/>
        </w:rPr>
        <w:t>广州市番禺区市桥街清河西路36号三楼</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联系：</w:t>
      </w:r>
      <w:r>
        <w:rPr>
          <w:rFonts w:hint="eastAsia" w:ascii="楷体" w:hAnsi="楷体" w:eastAsia="楷体" w:cs="楷体"/>
          <w:color w:val="000000"/>
          <w:sz w:val="24"/>
          <w:u w:val="single"/>
        </w:rPr>
        <w:t>李工13711112999</w:t>
      </w:r>
    </w:p>
    <w:p>
      <w:pPr>
        <w:autoSpaceDE w:val="0"/>
        <w:autoSpaceDN w:val="0"/>
        <w:ind w:firstLine="480" w:firstLineChars="200"/>
        <w:contextualSpacing/>
        <w:rPr>
          <w:rFonts w:hint="eastAsia" w:ascii="楷体" w:hAnsi="楷体" w:eastAsia="楷体" w:cs="楷体"/>
          <w:color w:val="000000"/>
          <w:sz w:val="24"/>
          <w:u w:val="single"/>
        </w:rPr>
      </w:pPr>
      <w:r>
        <w:rPr>
          <w:rFonts w:hint="eastAsia" w:ascii="楷体" w:hAnsi="楷体" w:eastAsia="楷体" w:cs="楷体"/>
          <w:color w:val="000000"/>
          <w:sz w:val="24"/>
        </w:rPr>
        <w:t>办公时间：</w:t>
      </w:r>
      <w:r>
        <w:rPr>
          <w:rFonts w:hint="eastAsia" w:ascii="楷体" w:hAnsi="楷体" w:eastAsia="楷体" w:cs="楷体"/>
          <w:color w:val="000000"/>
          <w:sz w:val="24"/>
          <w:u w:val="single"/>
        </w:rPr>
        <w:t>工作日9:00-11:00，14:30-16:30</w:t>
      </w:r>
    </w:p>
    <w:p>
      <w:pPr>
        <w:autoSpaceDE w:val="0"/>
        <w:autoSpaceDN w:val="0"/>
        <w:ind w:firstLine="480" w:firstLineChars="200"/>
        <w:contextualSpacing/>
        <w:rPr>
          <w:rFonts w:hint="eastAsia" w:ascii="楷体" w:hAnsi="楷体" w:eastAsia="楷体" w:cs="楷体"/>
          <w:color w:val="000000"/>
          <w:sz w:val="24"/>
          <w:u w:val="single"/>
        </w:rPr>
      </w:pPr>
    </w:p>
    <w:p>
      <w:pPr>
        <w:autoSpaceDE w:val="0"/>
        <w:autoSpaceDN w:val="0"/>
        <w:ind w:firstLine="480" w:firstLineChars="200"/>
        <w:contextualSpacing/>
        <w:rPr>
          <w:rFonts w:hint="eastAsia" w:ascii="楷体" w:hAnsi="楷体" w:eastAsia="楷体" w:cs="楷体"/>
          <w:color w:val="000000"/>
          <w:sz w:val="24"/>
          <w:u w:val="single"/>
        </w:rPr>
      </w:pPr>
    </w:p>
    <w:p>
      <w:pPr>
        <w:autoSpaceDE w:val="0"/>
        <w:autoSpaceDN w:val="0"/>
        <w:ind w:firstLine="480" w:firstLineChars="200"/>
        <w:contextualSpacing/>
        <w:rPr>
          <w:rFonts w:hint="eastAsia" w:ascii="楷体" w:hAnsi="楷体" w:eastAsia="楷体" w:cs="楷体"/>
          <w:color w:val="000000"/>
          <w:sz w:val="24"/>
          <w:u w:val="single"/>
        </w:rPr>
      </w:pPr>
    </w:p>
    <w:p>
      <w:pPr>
        <w:autoSpaceDE w:val="0"/>
        <w:autoSpaceDN w:val="0"/>
        <w:ind w:firstLine="3600" w:firstLineChars="1500"/>
        <w:contextualSpacing/>
        <w:rPr>
          <w:rFonts w:hint="eastAsia" w:ascii="楷体" w:hAnsi="楷体" w:eastAsia="楷体" w:cs="楷体"/>
          <w:color w:val="000000"/>
          <w:sz w:val="24"/>
        </w:rPr>
      </w:pPr>
      <w:r>
        <w:rPr>
          <w:rFonts w:hint="eastAsia" w:ascii="楷体" w:hAnsi="楷体" w:eastAsia="楷体" w:cs="楷体"/>
          <w:color w:val="000000"/>
          <w:sz w:val="24"/>
        </w:rPr>
        <w:t>发布人：广东华建兴工程管理有限公司</w:t>
      </w:r>
    </w:p>
    <w:p>
      <w:pPr>
        <w:autoSpaceDE w:val="0"/>
        <w:autoSpaceDN w:val="0"/>
        <w:ind w:firstLine="4320" w:firstLineChars="1800"/>
        <w:contextualSpacing/>
        <w:rPr>
          <w:rFonts w:hint="eastAsia" w:ascii="楷体" w:hAnsi="楷体" w:eastAsia="楷体" w:cs="楷体"/>
          <w:color w:val="000000"/>
          <w:sz w:val="24"/>
          <w:u w:val="single"/>
        </w:rPr>
      </w:pPr>
      <w:r>
        <w:rPr>
          <w:rFonts w:hint="eastAsia" w:ascii="楷体" w:hAnsi="楷体" w:eastAsia="楷体" w:cs="楷体"/>
          <w:color w:val="000000"/>
          <w:sz w:val="24"/>
        </w:rPr>
        <w:t>发布时间：</w:t>
      </w:r>
      <w:r>
        <w:rPr>
          <w:rFonts w:hint="eastAsia" w:ascii="楷体" w:hAnsi="楷体" w:eastAsia="楷体" w:cs="楷体"/>
          <w:color w:val="000000"/>
          <w:sz w:val="24"/>
          <w:u w:val="single"/>
        </w:rPr>
        <w:t>2023</w:t>
      </w:r>
      <w:r>
        <w:rPr>
          <w:rFonts w:hint="eastAsia" w:ascii="楷体" w:hAnsi="楷体" w:eastAsia="楷体" w:cs="楷体"/>
          <w:color w:val="000000"/>
          <w:sz w:val="24"/>
        </w:rPr>
        <w:t>年</w:t>
      </w:r>
      <w:r>
        <w:rPr>
          <w:rFonts w:hint="eastAsia" w:ascii="楷体" w:hAnsi="楷体" w:eastAsia="楷体" w:cs="楷体"/>
          <w:color w:val="000000"/>
          <w:sz w:val="24"/>
          <w:u w:val="single"/>
        </w:rPr>
        <w:t>3</w:t>
      </w:r>
      <w:r>
        <w:rPr>
          <w:rFonts w:hint="eastAsia" w:ascii="楷体" w:hAnsi="楷体" w:eastAsia="楷体" w:cs="楷体"/>
          <w:color w:val="000000"/>
          <w:sz w:val="24"/>
        </w:rPr>
        <w:t>月</w:t>
      </w:r>
      <w:r>
        <w:rPr>
          <w:rFonts w:hint="eastAsia" w:ascii="楷体" w:hAnsi="楷体" w:eastAsia="楷体" w:cs="楷体"/>
          <w:color w:val="000000"/>
          <w:sz w:val="24"/>
          <w:u w:val="single"/>
        </w:rPr>
        <w:t>28</w:t>
      </w:r>
      <w:r>
        <w:rPr>
          <w:rFonts w:hint="eastAsia" w:ascii="楷体" w:hAnsi="楷体" w:eastAsia="楷体" w:cs="楷体"/>
          <w:color w:val="000000"/>
          <w:sz w:val="24"/>
        </w:rPr>
        <w:t>日</w:t>
      </w: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jc w:val="center"/>
        <w:rPr>
          <w:rFonts w:hint="eastAsia" w:ascii="楷体" w:hAnsi="楷体" w:eastAsia="楷体" w:cs="楷体"/>
        </w:rPr>
      </w:pPr>
      <w:r>
        <w:rPr>
          <w:rStyle w:val="16"/>
          <w:rFonts w:hint="eastAsia" w:ascii="楷体" w:hAnsi="楷体" w:eastAsia="楷体" w:cs="楷体"/>
          <w:color w:val="000000"/>
          <w:sz w:val="30"/>
          <w:szCs w:val="30"/>
        </w:rPr>
        <w:t>第一部分  投标人须知</w:t>
      </w:r>
    </w:p>
    <w:p>
      <w:pPr>
        <w:spacing w:after="156" w:afterLines="50"/>
        <w:ind w:firstLine="424" w:firstLineChars="177"/>
        <w:rPr>
          <w:rFonts w:hint="eastAsia" w:ascii="楷体" w:hAnsi="楷体" w:eastAsia="楷体" w:cs="楷体"/>
          <w:sz w:val="24"/>
        </w:rPr>
      </w:pPr>
      <w:r>
        <w:rPr>
          <w:rFonts w:hint="eastAsia" w:ascii="楷体" w:hAnsi="楷体" w:eastAsia="楷体" w:cs="楷体"/>
          <w:color w:val="000000"/>
          <w:sz w:val="24"/>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3"/>
        <w:rPr>
          <w:rFonts w:hint="eastAsia" w:ascii="楷体" w:hAnsi="楷体" w:eastAsia="楷体" w:cs="楷体"/>
          <w:b/>
          <w:sz w:val="24"/>
        </w:rPr>
      </w:pPr>
      <w:bookmarkStart w:id="4" w:name="_Toc273255343"/>
      <w:bookmarkStart w:id="5" w:name="_Toc136662913"/>
      <w:bookmarkStart w:id="6" w:name="_Toc390699896"/>
      <w:bookmarkStart w:id="7" w:name="_Toc119321124"/>
      <w:bookmarkStart w:id="8" w:name="_Toc159385048"/>
      <w:bookmarkStart w:id="9" w:name="_Toc401575139"/>
      <w:bookmarkStart w:id="10" w:name="_Toc136682889"/>
      <w:bookmarkStart w:id="11" w:name="_Toc403491561"/>
      <w:bookmarkStart w:id="12" w:name="_Toc324867172"/>
      <w:r>
        <w:rPr>
          <w:rFonts w:hint="eastAsia" w:ascii="楷体" w:hAnsi="楷体" w:eastAsia="楷体" w:cs="楷体"/>
          <w:b/>
          <w:sz w:val="24"/>
          <w:highlight w:val="white"/>
        </w:rPr>
        <w:t>一  名词解释</w:t>
      </w:r>
      <w:bookmarkEnd w:id="4"/>
      <w:bookmarkEnd w:id="5"/>
      <w:bookmarkEnd w:id="6"/>
      <w:bookmarkEnd w:id="7"/>
      <w:bookmarkEnd w:id="8"/>
      <w:bookmarkEnd w:id="9"/>
      <w:bookmarkEnd w:id="10"/>
      <w:bookmarkEnd w:id="11"/>
      <w:bookmarkEnd w:id="12"/>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1、采购代理机构：本项目是指广东华建兴工程管理有限公司，负责整个采购活动的组织，依法负责编制和发布招标文件，对招标文件拥有最终的解释权，不以任何身份出任评标委员会成员。</w:t>
      </w:r>
    </w:p>
    <w:p>
      <w:pPr>
        <w:pStyle w:val="5"/>
        <w:tabs>
          <w:tab w:val="left" w:pos="0"/>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采购人：本项目是指广州市番禺联邦工业城有限公司，是采购活动当事人之一，负责项目的整体规划、技术方案可行性设计论证与实施，作为合同采购方（用户）的主体承担质疑回复、履行合同、验收与评价等义务。</w:t>
      </w:r>
    </w:p>
    <w:p>
      <w:pPr>
        <w:pStyle w:val="5"/>
        <w:tabs>
          <w:tab w:val="left" w:pos="0"/>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3、投标人：是指符合本项目招标文件要求，完成本项目投标登记并提交投标文件的供应商。</w:t>
      </w:r>
    </w:p>
    <w:p>
      <w:pPr>
        <w:pStyle w:val="5"/>
        <w:tabs>
          <w:tab w:val="left" w:pos="0"/>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4、招标文件：是指包括招标公告和招标文件及其补充、变更和澄清等一系列文件。</w:t>
      </w:r>
    </w:p>
    <w:p>
      <w:pPr>
        <w:pStyle w:val="5"/>
        <w:tabs>
          <w:tab w:val="left" w:pos="0"/>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5、投标文件：是指投标人根据本项目招标文件要求制作的投标文件。</w:t>
      </w:r>
    </w:p>
    <w:p>
      <w:pPr>
        <w:pStyle w:val="5"/>
        <w:tabs>
          <w:tab w:val="left" w:pos="0"/>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6、日期、天数、时间：未有特别说明时，均为公历日（天）及北京时间。</w:t>
      </w:r>
    </w:p>
    <w:p>
      <w:pPr>
        <w:pStyle w:val="4"/>
        <w:rPr>
          <w:rFonts w:hint="eastAsia" w:ascii="楷体" w:hAnsi="楷体" w:eastAsia="楷体" w:cs="楷体"/>
        </w:rPr>
      </w:pPr>
      <w:bookmarkStart w:id="13" w:name="_Toc403491562"/>
      <w:bookmarkStart w:id="14" w:name="_Toc175644386"/>
      <w:bookmarkStart w:id="15" w:name="_Toc401575140"/>
    </w:p>
    <w:p>
      <w:pPr>
        <w:pStyle w:val="3"/>
        <w:rPr>
          <w:rFonts w:hint="eastAsia" w:ascii="楷体" w:hAnsi="楷体" w:eastAsia="楷体" w:cs="楷体"/>
          <w:b/>
          <w:sz w:val="24"/>
        </w:rPr>
      </w:pPr>
      <w:r>
        <w:rPr>
          <w:rFonts w:hint="eastAsia" w:ascii="楷体" w:hAnsi="楷体" w:eastAsia="楷体" w:cs="楷体"/>
          <w:b/>
          <w:sz w:val="24"/>
          <w:highlight w:val="white"/>
        </w:rPr>
        <w:t>二  一般要求</w:t>
      </w:r>
      <w:bookmarkEnd w:id="13"/>
      <w:bookmarkEnd w:id="14"/>
      <w:bookmarkEnd w:id="15"/>
    </w:p>
    <w:p>
      <w:pPr>
        <w:pStyle w:val="5"/>
        <w:tabs>
          <w:tab w:val="left" w:pos="426"/>
        </w:tabs>
        <w:spacing w:line="240" w:lineRule="auto"/>
        <w:ind w:firstLine="480" w:firstLineChars="200"/>
        <w:rPr>
          <w:rFonts w:hint="eastAsia" w:ascii="楷体" w:hAnsi="楷体" w:eastAsia="楷体" w:cs="楷体"/>
          <w:color w:val="000000"/>
          <w:sz w:val="24"/>
        </w:rPr>
      </w:pPr>
      <w:bookmarkStart w:id="16" w:name="_Toc42313155"/>
      <w:bookmarkStart w:id="17" w:name="_Toc101843112"/>
      <w:bookmarkStart w:id="18" w:name="_Toc101775112"/>
      <w:bookmarkStart w:id="19" w:name="_Toc41884687"/>
      <w:bookmarkStart w:id="20" w:name="_Toc50276141"/>
      <w:bookmarkStart w:id="21" w:name="_Toc134956119"/>
      <w:bookmarkStart w:id="22" w:name="_Toc101951245"/>
      <w:bookmarkStart w:id="23" w:name="_Toc42394657"/>
      <w:bookmarkStart w:id="24" w:name="_Toc98579053"/>
      <w:bookmarkStart w:id="25" w:name="_Toc98579594"/>
      <w:bookmarkStart w:id="26" w:name="_Toc101771359"/>
      <w:bookmarkStart w:id="27" w:name="_Toc41723917"/>
      <w:bookmarkStart w:id="28" w:name="_Toc98580277"/>
      <w:bookmarkStart w:id="29" w:name="_Toc42394500"/>
      <w:bookmarkStart w:id="30" w:name="_Toc98578995"/>
      <w:bookmarkStart w:id="31" w:name="_Toc50276143"/>
      <w:bookmarkStart w:id="32" w:name="_Toc42394659"/>
      <w:bookmarkStart w:id="33" w:name="_Toc134956120"/>
      <w:bookmarkStart w:id="34" w:name="_Toc101951246"/>
      <w:bookmarkStart w:id="35" w:name="_Toc98579596"/>
      <w:bookmarkStart w:id="36" w:name="_Toc101771360"/>
      <w:bookmarkStart w:id="37" w:name="_Toc98580279"/>
      <w:bookmarkStart w:id="38" w:name="_Toc98579055"/>
      <w:bookmarkStart w:id="39" w:name="_Toc101775113"/>
      <w:bookmarkStart w:id="40" w:name="_Toc98578997"/>
      <w:bookmarkStart w:id="41" w:name="_Toc101843113"/>
      <w:bookmarkStart w:id="42" w:name="_Toc42394502"/>
      <w:bookmarkStart w:id="43" w:name="_Toc42313157"/>
      <w:r>
        <w:rPr>
          <w:rFonts w:hint="eastAsia" w:ascii="楷体" w:hAnsi="楷体" w:eastAsia="楷体" w:cs="楷体"/>
          <w:color w:val="000000"/>
          <w:sz w:val="24"/>
        </w:rPr>
        <w:t>1、投标的费用</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1.1、不论投标的结果如何，投标人应承担所有与编写和提交投标文件有关的费用。</w:t>
      </w:r>
    </w:p>
    <w:p>
      <w:pPr>
        <w:pStyle w:val="5"/>
        <w:tabs>
          <w:tab w:val="left" w:pos="426"/>
        </w:tabs>
        <w:spacing w:line="240" w:lineRule="auto"/>
        <w:ind w:firstLine="480" w:firstLineChars="200"/>
        <w:rPr>
          <w:rFonts w:hint="eastAsia" w:ascii="楷体" w:hAnsi="楷体" w:eastAsia="楷体" w:cs="楷体"/>
          <w:color w:val="000000"/>
          <w:sz w:val="24"/>
        </w:rPr>
      </w:pPr>
      <w:bookmarkStart w:id="44" w:name="EBdcf1e26c1d3340d89982ec756b8376ba"/>
      <w:r>
        <w:rPr>
          <w:rFonts w:hint="eastAsia" w:ascii="楷体" w:hAnsi="楷体" w:eastAsia="楷体" w:cs="楷体"/>
          <w:color w:val="000000"/>
          <w:sz w:val="24"/>
        </w:rPr>
        <w:t>1.2、采购人委托中标人支付采购代理机构服务费，其投标总报价中须包含该服务费。中标人在接收《中标通知书》前应向采购代理机构支付该服务费。</w:t>
      </w:r>
      <w:bookmarkEnd w:id="44"/>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1.3、采购代理机构服务费为：¥4800.00（大写：人民币</w:t>
      </w:r>
      <w:r>
        <w:rPr>
          <w:rFonts w:hint="eastAsia" w:ascii="楷体" w:hAnsi="楷体" w:eastAsia="楷体" w:cs="楷体"/>
          <w:color w:val="000000"/>
          <w:sz w:val="24"/>
        </w:rPr>
        <w:fldChar w:fldCharType="begin"/>
      </w:r>
      <w:r>
        <w:rPr>
          <w:rFonts w:hint="eastAsia" w:ascii="楷体" w:hAnsi="楷体" w:eastAsia="楷体" w:cs="楷体"/>
          <w:color w:val="000000"/>
          <w:sz w:val="24"/>
        </w:rPr>
        <w:instrText xml:space="preserve"> = 4800 \* CHINESENUM2 </w:instrText>
      </w:r>
      <w:r>
        <w:rPr>
          <w:rFonts w:hint="eastAsia" w:ascii="楷体" w:hAnsi="楷体" w:eastAsia="楷体" w:cs="楷体"/>
          <w:color w:val="000000"/>
          <w:sz w:val="24"/>
        </w:rPr>
        <w:fldChar w:fldCharType="separate"/>
      </w:r>
      <w:r>
        <w:rPr>
          <w:rFonts w:hint="eastAsia" w:ascii="楷体" w:hAnsi="楷体" w:eastAsia="楷体" w:cs="楷体"/>
          <w:color w:val="000000"/>
          <w:sz w:val="24"/>
        </w:rPr>
        <w:t>肆仟捌佰</w:t>
      </w:r>
      <w:r>
        <w:rPr>
          <w:rFonts w:hint="eastAsia" w:ascii="楷体" w:hAnsi="楷体" w:eastAsia="楷体" w:cs="楷体"/>
          <w:color w:val="000000"/>
          <w:sz w:val="24"/>
        </w:rPr>
        <w:fldChar w:fldCharType="end"/>
      </w:r>
      <w:r>
        <w:rPr>
          <w:rFonts w:hint="eastAsia" w:ascii="楷体" w:hAnsi="楷体" w:eastAsia="楷体" w:cs="楷体"/>
          <w:color w:val="000000"/>
          <w:sz w:val="24"/>
        </w:rPr>
        <w:t>元整）（不含税），评审专家费用1800元（大写：人民币</w:t>
      </w:r>
      <w:r>
        <w:rPr>
          <w:rFonts w:hint="eastAsia" w:ascii="楷体" w:hAnsi="楷体" w:eastAsia="楷体" w:cs="楷体"/>
          <w:color w:val="000000"/>
          <w:sz w:val="24"/>
        </w:rPr>
        <w:fldChar w:fldCharType="begin"/>
      </w:r>
      <w:r>
        <w:rPr>
          <w:rFonts w:hint="eastAsia" w:ascii="楷体" w:hAnsi="楷体" w:eastAsia="楷体" w:cs="楷体"/>
          <w:color w:val="000000"/>
          <w:sz w:val="24"/>
        </w:rPr>
        <w:instrText xml:space="preserve"> = 4800 \* CHINESENUM2 </w:instrText>
      </w:r>
      <w:r>
        <w:rPr>
          <w:rFonts w:hint="eastAsia" w:ascii="楷体" w:hAnsi="楷体" w:eastAsia="楷体" w:cs="楷体"/>
          <w:color w:val="000000"/>
          <w:sz w:val="24"/>
        </w:rPr>
        <w:fldChar w:fldCharType="separate"/>
      </w:r>
      <w:r>
        <w:rPr>
          <w:rFonts w:hint="eastAsia" w:ascii="楷体" w:hAnsi="楷体" w:eastAsia="楷体" w:cs="楷体"/>
          <w:color w:val="000000"/>
          <w:sz w:val="24"/>
        </w:rPr>
        <w:t>壹仟捌佰</w:t>
      </w:r>
      <w:r>
        <w:rPr>
          <w:rFonts w:hint="eastAsia" w:ascii="楷体" w:hAnsi="楷体" w:eastAsia="楷体" w:cs="楷体"/>
          <w:color w:val="000000"/>
          <w:sz w:val="24"/>
        </w:rPr>
        <w:fldChar w:fldCharType="end"/>
      </w:r>
      <w:r>
        <w:rPr>
          <w:rFonts w:hint="eastAsia" w:ascii="楷体" w:hAnsi="楷体" w:eastAsia="楷体" w:cs="楷体"/>
          <w:color w:val="000000"/>
          <w:sz w:val="24"/>
        </w:rPr>
        <w:t>元整）。</w:t>
      </w:r>
    </w:p>
    <w:p>
      <w:pPr>
        <w:pStyle w:val="4"/>
        <w:rPr>
          <w:rFonts w:hint="eastAsia" w:ascii="楷体" w:hAnsi="楷体" w:eastAsia="楷体" w:cs="楷体"/>
          <w:color w:val="000000"/>
          <w:sz w:val="24"/>
        </w:rPr>
      </w:pPr>
      <w:r>
        <w:rPr>
          <w:rFonts w:hint="eastAsia" w:ascii="楷体" w:hAnsi="楷体" w:eastAsia="楷体" w:cs="楷体"/>
          <w:color w:val="000000"/>
          <w:sz w:val="24"/>
        </w:rPr>
        <w:t>1.4、采购代理机构服务费支付方式：中标人凭营业执照复印件（该公章）到采购代理机构，选用以下两种方式支付采购代理机构服务费：</w:t>
      </w:r>
    </w:p>
    <w:p>
      <w:pPr>
        <w:pStyle w:val="4"/>
        <w:rPr>
          <w:rFonts w:hint="eastAsia" w:ascii="楷体" w:hAnsi="楷体" w:eastAsia="楷体" w:cs="楷体"/>
          <w:color w:val="000000"/>
          <w:sz w:val="24"/>
        </w:rPr>
      </w:pPr>
      <w:r>
        <w:rPr>
          <w:rFonts w:hint="eastAsia" w:ascii="楷体" w:hAnsi="楷体" w:eastAsia="楷体" w:cs="楷体"/>
          <w:color w:val="000000"/>
          <w:sz w:val="24"/>
        </w:rPr>
        <w:t>1.4.1、微信支付。</w:t>
      </w:r>
    </w:p>
    <w:p>
      <w:pPr>
        <w:pStyle w:val="4"/>
        <w:rPr>
          <w:rFonts w:hint="eastAsia" w:ascii="楷体" w:hAnsi="楷体" w:eastAsia="楷体" w:cs="楷体"/>
          <w:highlight w:val="green"/>
        </w:rPr>
      </w:pPr>
      <w:r>
        <w:rPr>
          <w:rFonts w:hint="eastAsia" w:ascii="楷体" w:hAnsi="楷体" w:eastAsia="楷体" w:cs="楷体"/>
          <w:color w:val="000000"/>
          <w:sz w:val="24"/>
        </w:rPr>
        <w:t>1.4.2、现金支付。</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2、招标文件的澄清和修改</w:t>
      </w:r>
      <w:bookmarkEnd w:id="31"/>
      <w:bookmarkEnd w:id="32"/>
      <w:bookmarkEnd w:id="33"/>
      <w:bookmarkEnd w:id="34"/>
      <w:bookmarkEnd w:id="35"/>
      <w:bookmarkEnd w:id="36"/>
      <w:bookmarkEnd w:id="37"/>
      <w:bookmarkEnd w:id="38"/>
      <w:bookmarkEnd w:id="39"/>
      <w:bookmarkEnd w:id="40"/>
      <w:bookmarkEnd w:id="41"/>
      <w:bookmarkEnd w:id="42"/>
      <w:bookmarkEnd w:id="43"/>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2.1、采购代理机构对招标文件进行必要的澄清或者修改的，在采购信息发布网站上发布更正公告。澄清或者修改的内容可能影响投标文件编制的，更正公告在投标截止时间至少15日前发出；不足15日的，采购代理机构顺延提交投标文件截止时间。</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2.2、更正公告为招标文件的组成部分，一经在采购信息发布网站发布，并电话通知已办理投标登记手续并购买本招标文件的供应商的联系人，视同已通知所有招标文件的收受人。</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2、3、如更正公告有重新发布招标文件的，供应商应按照最新发布的招标文件制作投标文件。</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2.4、投标人在规定的时间内未对招标文件提出疑问、质疑或要求澄清的，将视其为无异议。对招标文件中描述有歧义或前后不一致的地方，评标委员会有权进行评判，但对同一条款的评判应适用于每个投标人。</w:t>
      </w:r>
    </w:p>
    <w:p>
      <w:pPr>
        <w:autoSpaceDE w:val="0"/>
        <w:autoSpaceDN w:val="0"/>
        <w:ind w:firstLine="480" w:firstLineChars="200"/>
        <w:contextualSpacing/>
        <w:rPr>
          <w:rFonts w:hint="eastAsia" w:ascii="楷体" w:hAnsi="楷体" w:eastAsia="楷体" w:cs="楷体"/>
          <w:color w:val="000000"/>
          <w:sz w:val="24"/>
        </w:rPr>
      </w:pPr>
      <w:bookmarkStart w:id="45" w:name="_Toc101775115"/>
      <w:bookmarkStart w:id="46" w:name="_Toc101771362"/>
      <w:bookmarkStart w:id="47" w:name="_Toc101951248"/>
      <w:bookmarkStart w:id="48" w:name="_Toc101843115"/>
      <w:r>
        <w:rPr>
          <w:rFonts w:hint="eastAsia" w:ascii="楷体" w:hAnsi="楷体" w:eastAsia="楷体" w:cs="楷体"/>
          <w:color w:val="000000"/>
          <w:sz w:val="24"/>
        </w:rPr>
        <w:t>3、关于关联企业</w:t>
      </w:r>
    </w:p>
    <w:p>
      <w:pPr>
        <w:autoSpaceDE w:val="0"/>
        <w:autoSpaceDN w:val="0"/>
        <w:ind w:firstLine="480" w:firstLineChars="200"/>
        <w:contextualSpacing/>
        <w:rPr>
          <w:rFonts w:hint="eastAsia" w:ascii="楷体" w:hAnsi="楷体" w:eastAsia="楷体" w:cs="楷体"/>
          <w:color w:val="000000"/>
          <w:sz w:val="24"/>
        </w:rPr>
      </w:pPr>
      <w:bookmarkStart w:id="49" w:name="EB137940eb581a4d6f94e5abc58baa406e"/>
      <w:bookmarkEnd w:id="49"/>
      <w:bookmarkStart w:id="50" w:name="_Toc127930780"/>
      <w:bookmarkStart w:id="51" w:name="_Toc134955409"/>
      <w:r>
        <w:rPr>
          <w:rFonts w:hint="eastAsia" w:ascii="楷体" w:hAnsi="楷体" w:eastAsia="楷体" w:cs="楷体"/>
          <w:color w:val="000000"/>
          <w:sz w:val="24"/>
        </w:rPr>
        <w:t>法定代表人或单位负责人为同一个人或者存在直接控股、管理关系的不同供应商，不得同时参加同一项目或同一子项目的投标。如同时参加，则评审时将同时被拒绝。</w:t>
      </w:r>
      <w:bookmarkEnd w:id="50"/>
      <w:bookmarkEnd w:id="51"/>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4、关于提供前期服务的供应商</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为采购项目提供整体设计、规范编制或者项目管理、监理、检测等服务的供应商，不得再参加该采购项目的其他采购活动。</w:t>
      </w:r>
    </w:p>
    <w:p>
      <w:pPr>
        <w:pStyle w:val="5"/>
        <w:tabs>
          <w:tab w:val="left" w:pos="426"/>
        </w:tabs>
        <w:spacing w:line="240" w:lineRule="auto"/>
        <w:ind w:firstLine="480" w:firstLineChars="200"/>
        <w:rPr>
          <w:rFonts w:hint="eastAsia" w:ascii="楷体" w:hAnsi="楷体" w:eastAsia="楷体" w:cs="楷体"/>
          <w:color w:val="000000"/>
          <w:sz w:val="24"/>
        </w:rPr>
      </w:pPr>
      <w:bookmarkStart w:id="52" w:name="_Toc134956123"/>
      <w:r>
        <w:rPr>
          <w:rFonts w:hint="eastAsia" w:ascii="楷体" w:hAnsi="楷体" w:eastAsia="楷体" w:cs="楷体"/>
          <w:color w:val="000000"/>
          <w:sz w:val="24"/>
        </w:rPr>
        <w:t>5、关于联合体投标</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本项目不接受联合体投标。</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6、</w:t>
      </w:r>
      <w:bookmarkEnd w:id="52"/>
      <w:r>
        <w:rPr>
          <w:rFonts w:hint="eastAsia" w:ascii="楷体" w:hAnsi="楷体" w:eastAsia="楷体" w:cs="楷体"/>
          <w:color w:val="000000"/>
          <w:sz w:val="24"/>
        </w:rPr>
        <w:t>关于分支机构投标</w:t>
      </w:r>
    </w:p>
    <w:p>
      <w:pPr>
        <w:pStyle w:val="5"/>
        <w:tabs>
          <w:tab w:val="left" w:pos="426"/>
        </w:tabs>
        <w:spacing w:line="240" w:lineRule="auto"/>
        <w:ind w:firstLine="480" w:firstLineChars="200"/>
        <w:rPr>
          <w:rFonts w:hint="eastAsia" w:ascii="楷体" w:hAnsi="楷体" w:eastAsia="楷体" w:cs="楷体"/>
          <w:color w:val="000000"/>
          <w:sz w:val="24"/>
          <w:highlight w:val="white"/>
        </w:rPr>
      </w:pPr>
      <w:r>
        <w:rPr>
          <w:rFonts w:hint="eastAsia" w:ascii="楷体" w:hAnsi="楷体" w:eastAsia="楷体" w:cs="楷体"/>
          <w:color w:val="000000"/>
          <w:sz w:val="24"/>
        </w:rPr>
        <w:t>本项目不接受分支机构投标。</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7、知识产权</w:t>
      </w:r>
    </w:p>
    <w:p>
      <w:pPr>
        <w:pStyle w:val="5"/>
        <w:tabs>
          <w:tab w:val="left" w:pos="426"/>
        </w:tabs>
        <w:spacing w:line="240" w:lineRule="auto"/>
        <w:ind w:firstLine="480" w:firstLineChars="200"/>
        <w:rPr>
          <w:rFonts w:hint="eastAsia" w:ascii="楷体" w:hAnsi="楷体" w:eastAsia="楷体" w:cs="楷体"/>
          <w:color w:val="000000"/>
          <w:sz w:val="24"/>
          <w:lang w:val="en-GB"/>
        </w:rPr>
      </w:pPr>
      <w:r>
        <w:rPr>
          <w:rFonts w:hint="eastAsia" w:ascii="楷体" w:hAnsi="楷体" w:eastAsia="楷体" w:cs="楷体"/>
          <w:color w:val="000000"/>
          <w:sz w:val="24"/>
        </w:rPr>
        <w:t>7.1、投标人必须保证，采购人在中华人民共和国境内使用投标货物、资料、技术、服务或其任何一部分时，享有不受限制的无偿使用权，如有第三方向采购人提出侵犯其专利权、商标权或其它知识产权的主张，该责任应由投标人承担。</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7.2、投标报价应包含所有应向所有权人支付的专利权、商标权或其它知识产权的一切相关费用。</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7.3、系统软件、通用软件必须是具有在中国境内的合法使用权或版权的正版软件，涉及到第三方提出侵权或知识产权的起诉及支付版税等费用由投标人承担所有责任及费用。</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7.4、中标人需对所有成果、产品的知识产权负有瑕疵担保责任，因使用未被授权使用的技术、组件、系统软件、通用软件等知识产权问题引起的纠纷所产生的所有责任及费用由中标人自行承担。</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7.5、本项目研究成果及其技术文档等所有权由采购人享有，技术文档资料包括完备的系统设计文档、功能模块说明、程序源代码、执行代码、使用手册等，采购人对本项目的所有成果具有所有权。项目所交付的应用系统软件环境包括生产环境（正式环境）、测试环境、开发环境，所有环境均要求能正常使用，未经采购人许可，中标人不得将相关采购人资料提供给第三方。</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8、纪律与保密事项</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8.1、投标人不得相互串通投标报价，不得妨碍其他投标人的公平竞争，不得损害采购人或其他投标人的合法权益，投标人不得以向采购人、评标委员会成员行贿或者采取其他不正当手段谋取中标。</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8.2、在确定中标人之前，投标人不得与采购人就投标价格、投标方案等实质性内容进行谈判，也不得私下接触评标委员会成员。</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8.3、在确定中标人之前，投标人试图在投标文件审查、澄清、比较和评价时对评标委员会、采购人和采购代理机构施加任何影响都可能导致其投标无效。</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8.4、获得本招标文件者，不得将招标文件用作本次投标以外的任何用途。若有要求，开标后，投标人应归还招标文件中的保密文件和资料。</w:t>
      </w:r>
    </w:p>
    <w:p>
      <w:pPr>
        <w:pStyle w:val="5"/>
        <w:tabs>
          <w:tab w:val="left" w:pos="426"/>
        </w:tabs>
        <w:spacing w:line="240" w:lineRule="auto"/>
        <w:ind w:firstLine="480" w:firstLineChars="200"/>
        <w:rPr>
          <w:rFonts w:hint="eastAsia" w:ascii="楷体" w:hAnsi="楷体" w:eastAsia="楷体" w:cs="楷体"/>
          <w:color w:val="000000"/>
        </w:rPr>
      </w:pPr>
      <w:r>
        <w:rPr>
          <w:rFonts w:hint="eastAsia" w:ascii="楷体" w:hAnsi="楷体" w:eastAsia="楷体" w:cs="楷体"/>
          <w:color w:val="000000"/>
          <w:sz w:val="24"/>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3"/>
        <w:rPr>
          <w:rFonts w:hint="eastAsia" w:ascii="楷体" w:hAnsi="楷体" w:eastAsia="楷体" w:cs="楷体"/>
          <w:b/>
          <w:sz w:val="24"/>
          <w:highlight w:val="white"/>
        </w:rPr>
      </w:pPr>
      <w:r>
        <w:rPr>
          <w:rFonts w:hint="eastAsia" w:ascii="楷体" w:hAnsi="楷体" w:eastAsia="楷体" w:cs="楷体"/>
          <w:b/>
          <w:sz w:val="24"/>
          <w:highlight w:val="white"/>
        </w:rPr>
        <w:t>三  质疑</w:t>
      </w:r>
    </w:p>
    <w:p>
      <w:pPr>
        <w:pStyle w:val="5"/>
        <w:tabs>
          <w:tab w:val="left" w:pos="426"/>
        </w:tabs>
        <w:spacing w:line="240" w:lineRule="auto"/>
        <w:ind w:firstLine="480" w:firstLineChars="200"/>
        <w:rPr>
          <w:rFonts w:hint="eastAsia" w:ascii="楷体" w:hAnsi="楷体" w:eastAsia="楷体" w:cs="楷体"/>
          <w:color w:val="000000"/>
          <w:sz w:val="24"/>
        </w:rPr>
      </w:pPr>
      <w:bookmarkStart w:id="53" w:name="_Toc134955411"/>
      <w:r>
        <w:rPr>
          <w:rFonts w:hint="eastAsia" w:ascii="楷体" w:hAnsi="楷体" w:eastAsia="楷体" w:cs="楷体"/>
          <w:color w:val="000000"/>
          <w:sz w:val="24"/>
        </w:rPr>
        <w:t>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1.1、对招标文件提出质疑的，为获取招标文件之日或者招标文件公告期限届满之日；</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1.2、对采购过程提出质疑的，为各采购程序环节结束之日；</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1.3、对中标结果提出质疑的，为中标结果公告期限届满之日。</w:t>
      </w:r>
    </w:p>
    <w:bookmarkEnd w:id="53"/>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2、质疑函应当包括下列主要内容：</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2.1、质疑供应商和相关供应商的名称、地址、邮编、联系人及联系电话等；</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2.2、质疑项目名称及编号、具体、明确的质疑事项和与质疑事项相关的请求；</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2.3、认为采购文件、采购过程、中标和成交结果使自己的合法权益受到损害的法律依据、事实依据、相关证明材料及证据来源；</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2.4、提出质疑的日期。</w:t>
      </w:r>
    </w:p>
    <w:bookmarkEnd w:id="45"/>
    <w:bookmarkEnd w:id="46"/>
    <w:bookmarkEnd w:id="47"/>
    <w:bookmarkEnd w:id="48"/>
    <w:p>
      <w:pPr>
        <w:pStyle w:val="5"/>
        <w:tabs>
          <w:tab w:val="left" w:pos="426"/>
        </w:tabs>
        <w:spacing w:line="240" w:lineRule="auto"/>
        <w:ind w:firstLine="480" w:firstLineChars="200"/>
        <w:rPr>
          <w:rFonts w:hint="eastAsia" w:ascii="楷体" w:hAnsi="楷体" w:eastAsia="楷体" w:cs="楷体"/>
          <w:color w:val="000000"/>
          <w:sz w:val="24"/>
        </w:rPr>
      </w:pPr>
      <w:bookmarkStart w:id="54" w:name="_Toc50276145"/>
      <w:bookmarkStart w:id="55" w:name="_Toc42394661"/>
      <w:bookmarkStart w:id="56" w:name="_Toc42394504"/>
      <w:bookmarkStart w:id="57" w:name="_Toc50276193"/>
      <w:bookmarkStart w:id="58" w:name="_Toc98578999"/>
      <w:bookmarkStart w:id="59" w:name="_Toc46308681"/>
      <w:bookmarkStart w:id="60" w:name="_Toc98579598"/>
      <w:bookmarkStart w:id="61" w:name="_Toc46308525"/>
      <w:bookmarkStart w:id="62" w:name="_Toc98580281"/>
      <w:bookmarkStart w:id="63" w:name="_Toc101771363"/>
      <w:bookmarkStart w:id="64" w:name="_Toc101843116"/>
      <w:bookmarkStart w:id="65" w:name="_Toc98035086"/>
      <w:bookmarkStart w:id="66" w:name="_Toc42313159"/>
      <w:bookmarkStart w:id="67" w:name="_Toc101951249"/>
      <w:bookmarkStart w:id="68" w:name="_Toc175644387"/>
      <w:bookmarkStart w:id="69" w:name="_Toc98579057"/>
      <w:bookmarkStart w:id="70" w:name="_Toc101775116"/>
      <w:bookmarkStart w:id="71" w:name="_Toc41884693"/>
      <w:bookmarkStart w:id="72" w:name="_Toc41723923"/>
      <w:bookmarkStart w:id="73" w:name="_Toc401575142"/>
      <w:bookmarkStart w:id="74" w:name="_Toc403491564"/>
      <w:r>
        <w:rPr>
          <w:rFonts w:hint="eastAsia" w:ascii="楷体" w:hAnsi="楷体" w:eastAsia="楷体" w:cs="楷体"/>
          <w:color w:val="000000"/>
          <w:sz w:val="24"/>
        </w:rPr>
        <w:t>3、质疑函应当署名。质疑供应商为自然人的，应当由本人签字；质疑供应商为法人或者其他组织的，应当由法定代表人、主要负责人，或者其授权代表签字或者盖章，并加盖公章。</w:t>
      </w:r>
      <w:bookmarkStart w:id="75" w:name="EB69ea03e11cae48dba4ebbe3a62419b92"/>
      <w:r>
        <w:rPr>
          <w:rFonts w:hint="eastAsia" w:ascii="楷体" w:hAnsi="楷体" w:eastAsia="楷体" w:cs="楷体"/>
          <w:color w:val="000000"/>
          <w:sz w:val="24"/>
        </w:rPr>
        <w:t xml:space="preserve"> </w:t>
      </w:r>
      <w:bookmarkEnd w:id="75"/>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4、供应商质疑应当有明确的请求和必要的证明材料。质疑内容不得含有虚假、恶意成份。依照谁主张谁举证的原则，提出质疑者必须同时提交相关确凿的证据材料和注明证据的确切来源，证据来源必须合法，采购代理机构有权将质疑函转发质疑事项各关联方，请其作出解释说明。对捏造事实、滥用维权扰乱采购秩序的恶意质疑者，将上报政府采购监督管理部门依法处理，同时采购人将予以记录，有权拒绝其参加采购人其他采购项目的投标。</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5、质疑供应商对采购人、采购代理机构的质疑答复不满意，或者采购人、采购代理机构未在规定期限内作出答复的，可以在答复期满后15个工作日内向采购人的上级政府采购监督管理部门提起投诉。</w:t>
      </w:r>
    </w:p>
    <w:p>
      <w:pPr>
        <w:pStyle w:val="5"/>
        <w:tabs>
          <w:tab w:val="left" w:pos="426"/>
        </w:tabs>
        <w:spacing w:line="240" w:lineRule="auto"/>
        <w:ind w:firstLine="480" w:firstLineChars="200"/>
        <w:rPr>
          <w:rFonts w:hint="eastAsia" w:ascii="楷体" w:hAnsi="楷体" w:eastAsia="楷体" w:cs="楷体"/>
        </w:rPr>
      </w:pPr>
      <w:r>
        <w:rPr>
          <w:rFonts w:hint="eastAsia" w:ascii="楷体" w:hAnsi="楷体" w:eastAsia="楷体" w:cs="楷体"/>
          <w:color w:val="000000"/>
          <w:sz w:val="24"/>
        </w:rPr>
        <w:t>6、本次采购活动中，采购人、采购代理机构作出的质疑答复等文件的送达方式为现场取件。</w:t>
      </w:r>
    </w:p>
    <w:p>
      <w:pPr>
        <w:pStyle w:val="3"/>
        <w:rPr>
          <w:rFonts w:hint="eastAsia" w:ascii="楷体" w:hAnsi="楷体" w:eastAsia="楷体" w:cs="楷体"/>
          <w:b/>
          <w:sz w:val="24"/>
          <w:highlight w:val="white"/>
        </w:rPr>
      </w:pPr>
      <w:r>
        <w:rPr>
          <w:rFonts w:hint="eastAsia" w:ascii="楷体" w:hAnsi="楷体" w:eastAsia="楷体" w:cs="楷体"/>
          <w:b/>
          <w:sz w:val="24"/>
          <w:highlight w:val="white"/>
        </w:rPr>
        <w:t>四  投标</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hint="eastAsia" w:ascii="楷体" w:hAnsi="楷体" w:eastAsia="楷体" w:cs="楷体"/>
          <w:b/>
          <w:sz w:val="24"/>
          <w:highlight w:val="white"/>
        </w:rPr>
        <w:t>要求</w:t>
      </w:r>
      <w:bookmarkEnd w:id="73"/>
      <w:bookmarkEnd w:id="74"/>
    </w:p>
    <w:p>
      <w:pPr>
        <w:pStyle w:val="5"/>
        <w:tabs>
          <w:tab w:val="left" w:pos="426"/>
        </w:tabs>
        <w:spacing w:line="240" w:lineRule="auto"/>
        <w:ind w:firstLine="480" w:firstLineChars="200"/>
        <w:rPr>
          <w:rFonts w:hint="eastAsia" w:ascii="楷体" w:hAnsi="楷体" w:eastAsia="楷体" w:cs="楷体"/>
          <w:color w:val="000000"/>
          <w:sz w:val="24"/>
        </w:rPr>
      </w:pPr>
      <w:bookmarkStart w:id="76" w:name="_Toc50276147"/>
      <w:bookmarkStart w:id="77" w:name="_Toc41884695"/>
      <w:bookmarkStart w:id="78" w:name="_Toc41723925"/>
      <w:bookmarkStart w:id="79" w:name="_Toc101771365"/>
      <w:bookmarkStart w:id="80" w:name="_Toc42394506"/>
      <w:bookmarkStart w:id="81" w:name="_Toc42394663"/>
      <w:bookmarkStart w:id="82" w:name="_Toc98580283"/>
      <w:bookmarkStart w:id="83" w:name="_Toc98579059"/>
      <w:bookmarkStart w:id="84" w:name="_Toc101775118"/>
      <w:bookmarkStart w:id="85" w:name="_Toc98579001"/>
      <w:bookmarkStart w:id="86" w:name="_Toc101843118"/>
      <w:bookmarkStart w:id="87" w:name="_Toc101951251"/>
      <w:bookmarkStart w:id="88" w:name="_Toc98579600"/>
      <w:bookmarkStart w:id="89" w:name="_Toc42313161"/>
      <w:bookmarkStart w:id="90" w:name="_Toc134956127"/>
      <w:r>
        <w:rPr>
          <w:rFonts w:hint="eastAsia" w:ascii="楷体" w:hAnsi="楷体" w:eastAsia="楷体" w:cs="楷体"/>
          <w:color w:val="000000"/>
          <w:sz w:val="24"/>
        </w:rPr>
        <w:t>1、投标文件的制作</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1，1、投标人不得将同一个项目或同一个子项目的内容拆开投标，否则其报价将被视为非实质性响应。</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1.2、投标人须对招标文件的对应要求给予唯一的实质性响应，否则将视为不响应。</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1.3、招标文件中，凡标有“★”的地方均为实质性响应条款，投标人若有一项带“★”的条款未响应或不满足，将按无效投标处理。</w:t>
      </w:r>
      <w:bookmarkStart w:id="91" w:name="EBddb9b364d5604cd0b879c551717f0bc3"/>
      <w:r>
        <w:rPr>
          <w:rFonts w:hint="eastAsia" w:ascii="楷体" w:hAnsi="楷体" w:eastAsia="楷体" w:cs="楷体"/>
          <w:color w:val="000000"/>
          <w:sz w:val="24"/>
        </w:rPr>
        <w:t xml:space="preserve"> </w:t>
      </w:r>
      <w:bookmarkEnd w:id="91"/>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1.4、投标人报价低于最高限价80%的，必须在投标文件中提供报价说明，并提交相关证明材料证明其报价合理性。评标委员会认为投标人不能证明其报价合理性的，或有可能影响产品质量或者不能诚信履约的，应当将其作为无效投标处理。</w:t>
      </w:r>
      <w:bookmarkStart w:id="92" w:name="EB2d104c79e08d4d69ab62b6f9e518431f"/>
      <w:r>
        <w:rPr>
          <w:rFonts w:hint="eastAsia" w:ascii="楷体" w:hAnsi="楷体" w:eastAsia="楷体" w:cs="楷体"/>
          <w:color w:val="000000"/>
          <w:sz w:val="24"/>
        </w:rPr>
        <w:t xml:space="preserve"> </w:t>
      </w:r>
      <w:bookmarkEnd w:id="92"/>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1.5、投标人必须按招标文件指定的格式填写各种报价，各报价应计算正确。除在招标文件另有规定外，计量单位应使用中华人民共和国法定计量单位，以人民币填报所有报价。</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1.6、投标文件以及投标人与采购人、采购代理机构就有关投标的往来函电均应使用中文。投标人提交的支持性文件和印制的文件可以用另一种语言，但相应内容应翻译成中文，在解释投标文件时以中文文本为准。</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1.7、投标人应按招标文件的规定及附件要求的内容和格式完整地填写和提供资料。</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1.8、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上级政府采购监督管理部门。</w:t>
      </w:r>
    </w:p>
    <w:p>
      <w:pPr>
        <w:pStyle w:val="5"/>
        <w:tabs>
          <w:tab w:val="left" w:pos="426"/>
        </w:tabs>
        <w:spacing w:line="240" w:lineRule="auto"/>
        <w:ind w:firstLine="480" w:firstLineChars="200"/>
        <w:rPr>
          <w:rFonts w:hint="eastAsia" w:ascii="楷体" w:hAnsi="楷体" w:eastAsia="楷体" w:cs="楷体"/>
        </w:rPr>
      </w:pPr>
      <w:r>
        <w:rPr>
          <w:rFonts w:hint="eastAsia" w:ascii="楷体" w:hAnsi="楷体" w:eastAsia="楷体" w:cs="楷体"/>
          <w:color w:val="000000"/>
          <w:sz w:val="24"/>
        </w:rPr>
        <w:t>1.9、投标人应承担其投标文件编制与提交所涉及的一切费用，在任何情况下采购人和采购代理机构对上述费用均不负任何责任。</w:t>
      </w:r>
    </w:p>
    <w:p>
      <w:pPr>
        <w:ind w:right="-313" w:rightChars="-149" w:firstLine="480" w:firstLineChars="200"/>
        <w:rPr>
          <w:rFonts w:hint="eastAsia" w:ascii="楷体" w:hAnsi="楷体" w:eastAsia="楷体" w:cs="楷体"/>
          <w:color w:val="000000"/>
          <w:sz w:val="24"/>
        </w:rPr>
      </w:pPr>
      <w:r>
        <w:rPr>
          <w:rFonts w:hint="eastAsia" w:ascii="楷体" w:hAnsi="楷体" w:eastAsia="楷体" w:cs="楷体"/>
          <w:color w:val="000000"/>
          <w:sz w:val="24"/>
        </w:rPr>
        <w:t>1.10、投标人所提供的货物和服务均应以人民币报价，若同时以人民币及外币报价的，以人民币报价为准。</w:t>
      </w:r>
    </w:p>
    <w:p>
      <w:pPr>
        <w:ind w:right="-313" w:rightChars="-149" w:firstLine="480" w:firstLineChars="200"/>
        <w:rPr>
          <w:rFonts w:hint="eastAsia" w:ascii="楷体" w:hAnsi="楷体" w:eastAsia="楷体" w:cs="楷体"/>
          <w:color w:val="000000"/>
          <w:sz w:val="24"/>
        </w:rPr>
      </w:pPr>
      <w:r>
        <w:rPr>
          <w:rFonts w:hint="eastAsia" w:ascii="楷体" w:hAnsi="楷体" w:eastAsia="楷体" w:cs="楷体"/>
          <w:color w:val="000000"/>
          <w:sz w:val="24"/>
        </w:rPr>
        <w:t>1.11、投标人应按照“第二部分采购需求”规定的技术参数、责任范围以及合同条款进行报价。并按《开标一览表》和《报价明细表》确定的格式报出分项价格和总价。投标总价中不得包含招标文件要求以外的内容，否则，在评标时不予核减。投标总价中也不得缺漏招标文件所要求的内容，否则，其投标将可能被视为无效投标或确定为投标无效。</w:t>
      </w:r>
    </w:p>
    <w:p>
      <w:pPr>
        <w:ind w:right="-313" w:rightChars="-149"/>
        <w:rPr>
          <w:rFonts w:hint="eastAsia" w:ascii="楷体" w:hAnsi="楷体" w:eastAsia="楷体" w:cs="楷体"/>
          <w:color w:val="000000"/>
          <w:sz w:val="24"/>
        </w:rPr>
      </w:pPr>
      <w:r>
        <w:rPr>
          <w:rFonts w:hint="eastAsia" w:ascii="楷体" w:hAnsi="楷体" w:eastAsia="楷体" w:cs="楷体"/>
          <w:color w:val="000000"/>
          <w:sz w:val="24"/>
        </w:rPr>
        <w:t xml:space="preserve">    1.12、《报价明细表》填写时应响应下列要求：</w:t>
      </w:r>
    </w:p>
    <w:p>
      <w:pPr>
        <w:ind w:right="-313" w:rightChars="-149" w:firstLine="480" w:firstLineChars="200"/>
        <w:rPr>
          <w:rFonts w:hint="eastAsia" w:ascii="楷体" w:hAnsi="楷体" w:eastAsia="楷体" w:cs="楷体"/>
          <w:color w:val="000000"/>
          <w:sz w:val="24"/>
        </w:rPr>
      </w:pPr>
      <w:r>
        <w:rPr>
          <w:rFonts w:hint="eastAsia" w:ascii="楷体" w:hAnsi="楷体" w:eastAsia="楷体" w:cs="楷体"/>
          <w:color w:val="000000"/>
          <w:sz w:val="24"/>
        </w:rPr>
        <w:t>1.12.1、对于报价免费的项目必须标明“免费”。</w:t>
      </w:r>
    </w:p>
    <w:p>
      <w:pPr>
        <w:ind w:right="-313" w:rightChars="-149" w:firstLine="480" w:firstLineChars="200"/>
        <w:rPr>
          <w:rFonts w:hint="eastAsia" w:ascii="楷体" w:hAnsi="楷体" w:eastAsia="楷体" w:cs="楷体"/>
          <w:color w:val="000000"/>
          <w:sz w:val="24"/>
        </w:rPr>
      </w:pPr>
      <w:r>
        <w:rPr>
          <w:rFonts w:hint="eastAsia" w:ascii="楷体" w:hAnsi="楷体" w:eastAsia="楷体" w:cs="楷体"/>
          <w:color w:val="000000"/>
          <w:sz w:val="24"/>
        </w:rPr>
        <w:t>1.12.2、所有根据合同或其它原因应由投标人支付的税款和其它应交纳的费用都要包括在投标人提交的投标价格中。</w:t>
      </w:r>
    </w:p>
    <w:p>
      <w:pPr>
        <w:ind w:right="-313" w:rightChars="-149" w:firstLine="480" w:firstLineChars="200"/>
        <w:rPr>
          <w:rFonts w:hint="eastAsia" w:ascii="楷体" w:hAnsi="楷体" w:eastAsia="楷体" w:cs="楷体"/>
          <w:color w:val="000000"/>
          <w:sz w:val="24"/>
        </w:rPr>
      </w:pPr>
      <w:r>
        <w:rPr>
          <w:rFonts w:hint="eastAsia" w:ascii="楷体" w:hAnsi="楷体" w:eastAsia="楷体" w:cs="楷体"/>
          <w:color w:val="000000"/>
          <w:sz w:val="24"/>
        </w:rPr>
        <w:t>1.12.3、应包含服务的其他所有费用。</w:t>
      </w:r>
    </w:p>
    <w:p>
      <w:pPr>
        <w:ind w:right="-313" w:rightChars="-149" w:firstLine="480" w:firstLineChars="200"/>
        <w:rPr>
          <w:rFonts w:hint="eastAsia" w:ascii="楷体" w:hAnsi="楷体" w:eastAsia="楷体" w:cs="楷体"/>
          <w:color w:val="000000"/>
          <w:sz w:val="24"/>
        </w:rPr>
      </w:pPr>
      <w:bookmarkStart w:id="93" w:name="_Toc101951254"/>
      <w:bookmarkStart w:id="94" w:name="_Toc134956130"/>
      <w:bookmarkStart w:id="95" w:name="_Toc101771368"/>
      <w:bookmarkStart w:id="96" w:name="_Toc101775121"/>
      <w:bookmarkStart w:id="97" w:name="_Toc101843121"/>
      <w:r>
        <w:rPr>
          <w:rFonts w:hint="eastAsia" w:ascii="楷体" w:hAnsi="楷体" w:eastAsia="楷体" w:cs="楷体"/>
          <w:color w:val="000000"/>
          <w:sz w:val="24"/>
        </w:rPr>
        <w:t>1.13、投标人应按招标文件的要求，提交证明其有资格参加投标和中标后有履行合同能力的文件，并作为其投标文件的组成部分，包括但不限于下列文件：</w:t>
      </w:r>
    </w:p>
    <w:p>
      <w:pPr>
        <w:ind w:right="-313" w:rightChars="-149"/>
        <w:rPr>
          <w:rFonts w:hint="eastAsia" w:ascii="楷体" w:hAnsi="楷体" w:eastAsia="楷体" w:cs="楷体"/>
          <w:color w:val="000000"/>
          <w:sz w:val="24"/>
        </w:rPr>
      </w:pPr>
      <w:r>
        <w:rPr>
          <w:rFonts w:hint="eastAsia" w:ascii="楷体" w:hAnsi="楷体" w:eastAsia="楷体" w:cs="楷体"/>
          <w:color w:val="000000"/>
          <w:sz w:val="24"/>
        </w:rPr>
        <w:t xml:space="preserve">    1.13.1、具有独立承担民事责任能力的在中华人民共和国境内注册的法人或其他组织（提供法人或者其他组织的营业执照等证明文件复印件）。</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1.13.2、具有履行合同所必需的设备和专业技术能力（提供书面声明）。</w:t>
      </w:r>
    </w:p>
    <w:p>
      <w:pPr>
        <w:autoSpaceDE w:val="0"/>
        <w:autoSpaceDN w:val="0"/>
        <w:ind w:right="-313" w:rightChars="-149"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1.13.3、本项目投标截止期前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p>
      <w:pPr>
        <w:ind w:right="-313" w:rightChars="-149" w:firstLine="480" w:firstLineChars="200"/>
        <w:rPr>
          <w:rFonts w:hint="eastAsia" w:ascii="楷体" w:hAnsi="楷体" w:eastAsia="楷体" w:cs="楷体"/>
          <w:color w:val="000000"/>
          <w:sz w:val="24"/>
        </w:rPr>
      </w:pPr>
      <w:r>
        <w:rPr>
          <w:rFonts w:hint="eastAsia" w:ascii="楷体" w:hAnsi="楷体" w:eastAsia="楷体" w:cs="楷体"/>
          <w:color w:val="000000"/>
          <w:sz w:val="24"/>
        </w:rPr>
        <w:t>1.13.4、具有有效的广州环卫行业协会颁发的C级或以上企业等级证书</w:t>
      </w:r>
      <w:r>
        <w:rPr>
          <w:rFonts w:hint="eastAsia" w:ascii="楷体" w:hAnsi="楷体" w:eastAsia="楷体" w:cs="楷体"/>
          <w:sz w:val="24"/>
        </w:rPr>
        <w:t>（提供有效证件的扫描件）。</w:t>
      </w:r>
    </w:p>
    <w:p>
      <w:pPr>
        <w:autoSpaceDE w:val="0"/>
        <w:autoSpaceDN w:val="0"/>
        <w:ind w:right="-313" w:rightChars="-149"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1.13.5、具有有效的广州市番禺区城市管理和综合执法局核发的城市生活垃圾经营性清扫、收集、运输服务许可证书</w:t>
      </w:r>
      <w:r>
        <w:rPr>
          <w:rFonts w:hint="eastAsia" w:ascii="楷体" w:hAnsi="楷体" w:eastAsia="楷体" w:cs="楷体"/>
          <w:sz w:val="24"/>
        </w:rPr>
        <w:t>（提供有效证件的扫描件）</w:t>
      </w:r>
      <w:r>
        <w:rPr>
          <w:rFonts w:hint="eastAsia" w:ascii="楷体" w:hAnsi="楷体" w:eastAsia="楷体" w:cs="楷体"/>
          <w:color w:val="000000"/>
          <w:sz w:val="24"/>
        </w:rPr>
        <w:t>。</w:t>
      </w:r>
    </w:p>
    <w:p>
      <w:pPr>
        <w:autoSpaceDE w:val="0"/>
        <w:autoSpaceDN w:val="0"/>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1.13.6、《公平竞争承诺书》。</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 xml:space="preserve">1.13.7、法定代表人或单位负责人为同一个人或者存在直接控股、管理关系的不同供应商，不得同时参加同一项目或同一子项目的投标的书面声明。    </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1.13.8、为采购项目提供整体设计、规范编制或者项目管理、监理、检测等服务的供应商，不得再参加同一采购项目的其他采购活动的书面声明。</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1.14、投标人应按招标文件的要求提交的符合招标文件规定的文件：</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1.14.1、技术部分资料。</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1.14.2、商务部分资料。</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1.14.3、报价资料。</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1.15、投标文件的数量和签署：</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1.15.1、投标人应编制投标文件一式六份，其中正本一份和副本伍份，投标文件的副本可采用正本的复印件。每套投标文件须清楚地标明“正本”、“副本”。若副本与正本不符，以正本为准。</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1.15.2、投标文件应打印，并每页加盖单位公章。</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1.15.3、投标文件中的任何插字、涂改和增删，必须由法定代表人或经其正式授权的代表在旁边签字并加盖单位公章才有效。授权代表须出具书面授权证明，其《法定代表人授权委托书》应附在投标文件中。</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1.16、投标文件的密封和标记</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1.16.1、投标人必须将《开标一览表》一份单独密封提交，并在信封上清晰标明“开标信封”字样。</w:t>
      </w:r>
    </w:p>
    <w:p>
      <w:pPr>
        <w:ind w:right="-313" w:rightChars="-149" w:firstLine="480"/>
        <w:rPr>
          <w:rFonts w:hint="eastAsia" w:ascii="楷体" w:hAnsi="楷体" w:eastAsia="楷体" w:cs="楷体"/>
          <w:color w:val="000000"/>
          <w:sz w:val="24"/>
        </w:rPr>
      </w:pPr>
      <w:r>
        <w:rPr>
          <w:rFonts w:hint="eastAsia" w:ascii="楷体" w:hAnsi="楷体" w:eastAsia="楷体" w:cs="楷体"/>
          <w:color w:val="000000"/>
          <w:sz w:val="24"/>
        </w:rPr>
        <w:t>1.16.2、投标人必须将投标文件正本和所有的副本分别单独密封包装，在封口上加盖投标人的公章。并在外包装上清晰标明以下信息：</w:t>
      </w:r>
    </w:p>
    <w:tbl>
      <w:tblPr>
        <w:tblStyle w:val="14"/>
        <w:tblW w:w="8214" w:type="dxa"/>
        <w:tblInd w:w="4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14" w:type="dxa"/>
          </w:tcPr>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收件人名称：</w:t>
            </w:r>
            <w:r>
              <w:rPr>
                <w:rFonts w:hint="eastAsia" w:ascii="楷体" w:hAnsi="楷体" w:eastAsia="楷体" w:cs="楷体"/>
                <w:color w:val="000000"/>
                <w:sz w:val="24"/>
              </w:rPr>
              <w:t>广东华建兴工程管理有限公司</w:t>
            </w:r>
          </w:p>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项目编号：</w:t>
            </w:r>
          </w:p>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项目名称：</w:t>
            </w:r>
          </w:p>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包装内容：投标文件正本/副本/开标信封</w:t>
            </w:r>
          </w:p>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投标人名称：</w:t>
            </w:r>
          </w:p>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投标人地址：</w:t>
            </w:r>
          </w:p>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联 系 人：</w:t>
            </w:r>
          </w:p>
          <w:p>
            <w:pPr>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联系电话：</w:t>
            </w:r>
          </w:p>
          <w:p>
            <w:pPr>
              <w:pStyle w:val="11"/>
              <w:adjustRightInd w:val="0"/>
              <w:snapToGrid w:val="0"/>
              <w:spacing w:line="360" w:lineRule="auto"/>
              <w:ind w:right="32" w:firstLine="480" w:firstLineChars="200"/>
              <w:rPr>
                <w:rFonts w:hint="eastAsia" w:ascii="楷体" w:hAnsi="楷体" w:eastAsia="楷体" w:cs="楷体"/>
                <w:color w:val="000000" w:themeColor="text1"/>
                <w:kern w:val="0"/>
                <w:szCs w:val="21"/>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日    期：      年     月   日</w:t>
            </w:r>
          </w:p>
        </w:tc>
      </w:tr>
    </w:tbl>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firstLine="480"/>
        <w:rPr>
          <w:rFonts w:hint="eastAsia" w:ascii="楷体" w:hAnsi="楷体" w:eastAsia="楷体" w:cs="楷体"/>
          <w:color w:val="000000"/>
          <w:sz w:val="24"/>
        </w:rPr>
      </w:pPr>
    </w:p>
    <w:p>
      <w:pPr>
        <w:ind w:right="-313" w:rightChars="-149"/>
        <w:rPr>
          <w:rFonts w:hint="eastAsia" w:ascii="楷体" w:hAnsi="楷体" w:eastAsia="楷体" w:cs="楷体"/>
          <w:color w:val="000000"/>
          <w:sz w:val="24"/>
        </w:rPr>
      </w:pP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2、投标文件的提交</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2.1、采购代理机构只接受完成办理投标登记手续并购买本招标文件的供应商提交投标文件。</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2.2、采购代理机构对因不可抗力事件造成的投标文件的损坏、丢失的，不承担责任。</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2.3、出现下述情形之一，属于未成功提交投标文件：</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2.3.1、至提交投标文件截止时，投标文件未提交的。</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2.3.2、投标文件未按要求进行密封和标记的。</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2.3.3、投标文件未按照最新发布的招标文件制作的。</w:t>
      </w:r>
    </w:p>
    <w:bookmarkEnd w:id="93"/>
    <w:bookmarkEnd w:id="94"/>
    <w:bookmarkEnd w:id="95"/>
    <w:bookmarkEnd w:id="96"/>
    <w:bookmarkEnd w:id="97"/>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3、投标文件的修改、撤回与撤销</w:t>
      </w:r>
    </w:p>
    <w:p>
      <w:pPr>
        <w:pStyle w:val="5"/>
        <w:tabs>
          <w:tab w:val="left" w:pos="426"/>
        </w:tabs>
        <w:spacing w:line="240" w:lineRule="auto"/>
        <w:ind w:firstLine="480" w:firstLineChars="200"/>
        <w:rPr>
          <w:rFonts w:hint="eastAsia" w:ascii="楷体" w:hAnsi="楷体" w:eastAsia="楷体" w:cs="楷体"/>
          <w:color w:val="000000"/>
          <w:sz w:val="24"/>
        </w:rPr>
      </w:pPr>
      <w:bookmarkStart w:id="98" w:name="_Toc134955425"/>
      <w:r>
        <w:rPr>
          <w:rFonts w:hint="eastAsia" w:ascii="楷体" w:hAnsi="楷体" w:eastAsia="楷体" w:cs="楷体"/>
          <w:color w:val="000000"/>
          <w:sz w:val="24"/>
        </w:rPr>
        <w:t>3.1、在提交投标文件截止时间前，投标人可以修改或撤回已提交的投标文件。</w:t>
      </w:r>
      <w:bookmarkEnd w:id="98"/>
    </w:p>
    <w:p>
      <w:pPr>
        <w:pStyle w:val="5"/>
        <w:tabs>
          <w:tab w:val="left" w:pos="426"/>
        </w:tabs>
        <w:spacing w:line="240" w:lineRule="auto"/>
        <w:ind w:firstLine="480" w:firstLineChars="200"/>
        <w:rPr>
          <w:rFonts w:hint="eastAsia" w:ascii="楷体" w:hAnsi="楷体" w:eastAsia="楷体" w:cs="楷体"/>
          <w:color w:val="000000"/>
          <w:sz w:val="24"/>
        </w:rPr>
      </w:pPr>
      <w:bookmarkStart w:id="99" w:name="_Toc134955426"/>
      <w:r>
        <w:rPr>
          <w:rFonts w:hint="eastAsia" w:ascii="楷体" w:hAnsi="楷体" w:eastAsia="楷体" w:cs="楷体"/>
          <w:color w:val="000000"/>
          <w:sz w:val="24"/>
        </w:rPr>
        <w:t>3.2、在提交投标文件截止时间后，投标人不得补充、修改、更换或撤回投标文件。</w:t>
      </w:r>
      <w:bookmarkEnd w:id="99"/>
    </w:p>
    <w:p>
      <w:pPr>
        <w:pStyle w:val="5"/>
        <w:tabs>
          <w:tab w:val="left" w:pos="426"/>
        </w:tabs>
        <w:spacing w:line="240" w:lineRule="auto"/>
        <w:ind w:firstLine="480" w:firstLineChars="200"/>
        <w:rPr>
          <w:rFonts w:hint="eastAsia" w:ascii="楷体" w:hAnsi="楷体" w:eastAsia="楷体" w:cs="楷体"/>
          <w:color w:val="000000"/>
          <w:sz w:val="24"/>
        </w:rPr>
      </w:pPr>
      <w:bookmarkStart w:id="100" w:name="_Toc42394509"/>
      <w:bookmarkStart w:id="101" w:name="_Toc42313164"/>
      <w:bookmarkStart w:id="102" w:name="_Toc42394666"/>
      <w:bookmarkStart w:id="103" w:name="_Toc101843123"/>
      <w:bookmarkStart w:id="104" w:name="_Toc41723928"/>
      <w:bookmarkStart w:id="105" w:name="_Toc98579603"/>
      <w:bookmarkStart w:id="106" w:name="_Toc41884698"/>
      <w:bookmarkStart w:id="107" w:name="_Toc134956132"/>
      <w:bookmarkStart w:id="108" w:name="_Toc101951256"/>
      <w:bookmarkStart w:id="109" w:name="_Toc101775123"/>
      <w:bookmarkStart w:id="110" w:name="_Toc101771370"/>
      <w:bookmarkStart w:id="111" w:name="_Toc98580286"/>
      <w:bookmarkStart w:id="112" w:name="_Toc98579062"/>
      <w:bookmarkStart w:id="113" w:name="_Toc98579004"/>
      <w:bookmarkStart w:id="114" w:name="_Toc50276150"/>
      <w:r>
        <w:rPr>
          <w:rFonts w:hint="eastAsia" w:ascii="楷体" w:hAnsi="楷体" w:eastAsia="楷体" w:cs="楷体"/>
          <w:color w:val="000000"/>
          <w:sz w:val="24"/>
        </w:rPr>
        <w:t>3.3、在提交投标文件截止时间起至投标有效期终止日前，投标人不能撤销投标文件，</w:t>
      </w:r>
      <w:bookmarkStart w:id="115" w:name="EBbf67bb11ed664816ab7da0e6f1d1aab9"/>
      <w:r>
        <w:rPr>
          <w:rFonts w:hint="eastAsia" w:ascii="楷体" w:hAnsi="楷体" w:eastAsia="楷体" w:cs="楷体"/>
          <w:color w:val="000000"/>
          <w:sz w:val="24"/>
        </w:rPr>
        <w:t>否则采购人将其撤销行为载入不良记录，有权拒绝其参加采购人其他采购项目的投标，</w:t>
      </w:r>
      <w:bookmarkEnd w:id="115"/>
      <w:r>
        <w:rPr>
          <w:rFonts w:hint="eastAsia" w:ascii="楷体" w:hAnsi="楷体" w:eastAsia="楷体" w:cs="楷体"/>
          <w:color w:val="000000"/>
          <w:sz w:val="24"/>
        </w:rPr>
        <w:t>并将上报政府采购监督管理部门依法处理。</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4、投标有效期</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投标有效期从提交投标文件的截止之日起算90天。</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在特殊情况下，采购代理机构可于投标有效期满之前要求投标人同意延长有效期，要求与答复均以书面形式进行。投标人可以拒绝上述要求，但其投标将会被拒绝</w:t>
      </w:r>
      <w:bookmarkStart w:id="116" w:name="EBf601c18db4ac4bb394df019c799f8e04"/>
      <w:bookmarkEnd w:id="116"/>
      <w:r>
        <w:rPr>
          <w:rFonts w:hint="eastAsia" w:ascii="楷体" w:hAnsi="楷体" w:eastAsia="楷体" w:cs="楷体"/>
          <w:color w:val="000000"/>
          <w:sz w:val="24"/>
        </w:rPr>
        <w:t>；同意延期的投标人其权利与义务相应延至新的截止期。</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5、投标保证金</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本项目不收取投标保证金。</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6、投标人所提交的投标文件在评标结束后，无论中标与否都不退还。</w:t>
      </w:r>
    </w:p>
    <w:p>
      <w:pPr>
        <w:pStyle w:val="5"/>
        <w:tabs>
          <w:tab w:val="left" w:pos="426"/>
        </w:tabs>
        <w:spacing w:line="240" w:lineRule="auto"/>
        <w:ind w:firstLine="480" w:firstLineChars="200"/>
        <w:rPr>
          <w:rFonts w:hint="eastAsia" w:ascii="楷体" w:hAnsi="楷体" w:eastAsia="楷体" w:cs="楷体"/>
          <w:color w:val="000000"/>
          <w:sz w:val="24"/>
        </w:rPr>
      </w:pPr>
      <w:r>
        <w:rPr>
          <w:rFonts w:hint="eastAsia" w:ascii="楷体" w:hAnsi="楷体" w:eastAsia="楷体" w:cs="楷体"/>
          <w:color w:val="000000"/>
          <w:sz w:val="24"/>
        </w:rPr>
        <w:t>7、采购代理机构对投标人所递交样品污损不负任何责任。未中标的投标人应在发出中标公告之日起七天内自行取回投标样品。七天内不取回样品，则视为自动放弃样品的所有权，采购代理机构有权自行处置相关样品。</w:t>
      </w:r>
    </w:p>
    <w:p>
      <w:pPr>
        <w:ind w:right="-313" w:rightChars="-149"/>
        <w:rPr>
          <w:rFonts w:hint="eastAsia" w:ascii="楷体" w:hAnsi="楷体" w:eastAsia="楷体" w:cs="楷体"/>
        </w:rPr>
      </w:pPr>
      <w:r>
        <w:rPr>
          <w:rFonts w:hint="eastAsia" w:ascii="楷体" w:hAnsi="楷体" w:eastAsia="楷体" w:cs="楷体"/>
        </w:rPr>
        <w:t xml:space="preserve">    </w:t>
      </w: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snapToGrid w:val="0"/>
        <w:jc w:val="center"/>
        <w:rPr>
          <w:rFonts w:hint="eastAsia" w:ascii="楷体" w:hAnsi="楷体" w:eastAsia="楷体" w:cs="楷体"/>
          <w:color w:val="000000" w:themeColor="text1"/>
          <w:sz w:val="24"/>
          <w14:textFill>
            <w14:solidFill>
              <w14:schemeClr w14:val="tx1"/>
            </w14:solidFill>
          </w14:textFill>
        </w:rPr>
      </w:pPr>
      <w:r>
        <w:rPr>
          <w:rStyle w:val="16"/>
          <w:rFonts w:hint="eastAsia" w:ascii="楷体" w:hAnsi="楷体" w:eastAsia="楷体" w:cs="楷体"/>
          <w:color w:val="000000"/>
          <w:sz w:val="30"/>
          <w:szCs w:val="30"/>
        </w:rPr>
        <w:t>第二部分  采购需求</w:t>
      </w:r>
    </w:p>
    <w:p>
      <w:pPr>
        <w:ind w:firstLine="480" w:firstLineChars="200"/>
        <w:rPr>
          <w:rFonts w:hint="eastAsia" w:ascii="楷体" w:hAnsi="楷体" w:eastAsia="楷体" w:cs="楷体"/>
          <w:sz w:val="24"/>
        </w:rPr>
      </w:pPr>
      <w:bookmarkStart w:id="117" w:name="EB93c4e8d19c1041a5b927e28a0c288bfb"/>
      <w:bookmarkEnd w:id="117"/>
      <w:r>
        <w:rPr>
          <w:rFonts w:hint="eastAsia" w:ascii="楷体" w:hAnsi="楷体" w:eastAsia="楷体" w:cs="楷体"/>
          <w:sz w:val="24"/>
        </w:rPr>
        <w:t>投标人须对本项目的服务进行整体响应，任何只对其中一部分内容进行的响应都被视为无效响应。</w:t>
      </w:r>
    </w:p>
    <w:p>
      <w:pPr>
        <w:jc w:val="center"/>
        <w:rPr>
          <w:rFonts w:hint="eastAsia" w:ascii="楷体" w:hAnsi="楷体" w:eastAsia="楷体" w:cs="楷体"/>
          <w:b/>
          <w:bCs/>
          <w:color w:val="000000" w:themeColor="text1"/>
          <w:sz w:val="24"/>
          <w14:textFill>
            <w14:solidFill>
              <w14:schemeClr w14:val="tx1"/>
            </w14:solidFill>
          </w14:textFill>
        </w:rPr>
      </w:pPr>
    </w:p>
    <w:p>
      <w:pPr>
        <w:jc w:val="center"/>
        <w:rPr>
          <w:rFonts w:hint="eastAsia" w:ascii="楷体" w:hAnsi="楷体" w:eastAsia="楷体" w:cs="楷体"/>
          <w:sz w:val="24"/>
        </w:rPr>
      </w:pPr>
      <w:r>
        <w:rPr>
          <w:rFonts w:hint="eastAsia" w:ascii="楷体" w:hAnsi="楷体" w:eastAsia="楷体" w:cs="楷体"/>
          <w:b/>
          <w:bCs/>
          <w:color w:val="000000" w:themeColor="text1"/>
          <w:sz w:val="24"/>
          <w14:textFill>
            <w14:solidFill>
              <w14:schemeClr w14:val="tx1"/>
            </w14:solidFill>
          </w14:textFill>
        </w:rPr>
        <w:t>一  项目概况</w:t>
      </w:r>
    </w:p>
    <w:p>
      <w:pPr>
        <w:autoSpaceDE w:val="0"/>
        <w:autoSpaceDN w:val="0"/>
        <w:ind w:firstLine="480" w:firstLineChars="200"/>
        <w:contextualSpacing/>
        <w:rPr>
          <w:rFonts w:hint="eastAsia" w:ascii="楷体" w:hAnsi="楷体" w:eastAsia="楷体" w:cs="楷体"/>
          <w:sz w:val="24"/>
        </w:rPr>
      </w:pPr>
      <w:r>
        <w:rPr>
          <w:rFonts w:hint="eastAsia" w:ascii="楷体" w:hAnsi="楷体" w:eastAsia="楷体" w:cs="楷体"/>
          <w:color w:val="000000"/>
          <w:sz w:val="24"/>
        </w:rPr>
        <w:t>1、项目名称：</w:t>
      </w:r>
      <w:r>
        <w:rPr>
          <w:rFonts w:hint="eastAsia" w:ascii="楷体" w:hAnsi="楷体" w:eastAsia="楷体" w:cs="楷体"/>
          <w:sz w:val="24"/>
          <w:u w:val="single"/>
        </w:rPr>
        <w:t>联邦工业城 A8 幢厂房更换电梯项目</w:t>
      </w:r>
      <w:r>
        <w:rPr>
          <w:rFonts w:hint="eastAsia" w:ascii="楷体" w:hAnsi="楷体" w:eastAsia="楷体" w:cs="楷体"/>
          <w:sz w:val="24"/>
        </w:rPr>
        <w:t>。</w:t>
      </w:r>
    </w:p>
    <w:p>
      <w:pPr>
        <w:autoSpaceDE w:val="0"/>
        <w:autoSpaceDN w:val="0"/>
        <w:ind w:firstLine="480" w:firstLineChars="200"/>
        <w:contextualSpacing/>
        <w:rPr>
          <w:rFonts w:hint="eastAsia" w:ascii="楷体" w:hAnsi="楷体" w:eastAsia="楷体" w:cs="楷体"/>
          <w:color w:val="000000"/>
          <w:sz w:val="24"/>
          <w:lang w:val="zh-CN"/>
        </w:rPr>
      </w:pPr>
      <w:r>
        <w:rPr>
          <w:rFonts w:hint="eastAsia" w:ascii="楷体" w:hAnsi="楷体" w:eastAsia="楷体" w:cs="楷体"/>
          <w:color w:val="000000"/>
          <w:sz w:val="24"/>
        </w:rPr>
        <w:t>2、</w:t>
      </w:r>
      <w:r>
        <w:rPr>
          <w:rFonts w:hint="eastAsia" w:ascii="楷体" w:hAnsi="楷体" w:eastAsia="楷体" w:cs="楷体"/>
          <w:color w:val="000000"/>
          <w:sz w:val="24"/>
          <w:lang w:val="zh-CN"/>
        </w:rPr>
        <w:t>采购方式：公开招标。</w:t>
      </w:r>
    </w:p>
    <w:p>
      <w:pPr>
        <w:ind w:firstLine="480" w:firstLineChars="200"/>
        <w:rPr>
          <w:rFonts w:hint="eastAsia" w:ascii="楷体" w:hAnsi="楷体" w:eastAsia="楷体" w:cs="楷体"/>
          <w:bCs/>
          <w:color w:val="000000" w:themeColor="text1"/>
          <w:sz w:val="24"/>
          <w14:textFill>
            <w14:solidFill>
              <w14:schemeClr w14:val="tx1"/>
            </w14:solidFill>
          </w14:textFill>
        </w:rPr>
      </w:pPr>
      <w:r>
        <w:rPr>
          <w:rFonts w:hint="eastAsia" w:ascii="楷体" w:hAnsi="楷体" w:eastAsia="楷体" w:cs="楷体"/>
          <w:bCs/>
          <w:color w:val="000000" w:themeColor="text1"/>
          <w:sz w:val="24"/>
          <w14:textFill>
            <w14:solidFill>
              <w14:schemeClr w14:val="tx1"/>
            </w14:solidFill>
          </w14:textFill>
        </w:rPr>
        <w:t>3、项目规模：</w:t>
      </w:r>
    </w:p>
    <w:tbl>
      <w:tblPr>
        <w:tblStyle w:val="14"/>
        <w:tblpPr w:leftFromText="180" w:rightFromText="180" w:vertAnchor="text" w:horzAnchor="page" w:tblpX="2004" w:tblpY="460"/>
        <w:tblOverlap w:val="never"/>
        <w:tblW w:w="8256" w:type="dxa"/>
        <w:tblInd w:w="0" w:type="dxa"/>
        <w:tblLayout w:type="fixed"/>
        <w:tblCellMar>
          <w:top w:w="0" w:type="dxa"/>
          <w:left w:w="144" w:type="dxa"/>
          <w:bottom w:w="0" w:type="dxa"/>
          <w:right w:w="46" w:type="dxa"/>
        </w:tblCellMar>
      </w:tblPr>
      <w:tblGrid>
        <w:gridCol w:w="2281"/>
        <w:gridCol w:w="775"/>
        <w:gridCol w:w="2450"/>
        <w:gridCol w:w="1400"/>
        <w:gridCol w:w="1350"/>
      </w:tblGrid>
      <w:tr>
        <w:tblPrEx>
          <w:tblCellMar>
            <w:top w:w="0" w:type="dxa"/>
            <w:left w:w="144" w:type="dxa"/>
            <w:bottom w:w="0" w:type="dxa"/>
            <w:right w:w="46" w:type="dxa"/>
          </w:tblCellMar>
        </w:tblPrEx>
        <w:trPr>
          <w:trHeight w:val="487" w:hRule="atLeast"/>
        </w:trPr>
        <w:tc>
          <w:tcPr>
            <w:tcW w:w="2281" w:type="dxa"/>
            <w:tcBorders>
              <w:top w:val="single" w:color="000000" w:sz="12" w:space="0"/>
              <w:left w:val="single" w:color="000000" w:sz="12" w:space="0"/>
              <w:bottom w:val="single" w:color="000000" w:sz="4" w:space="0"/>
              <w:right w:val="single" w:color="000000" w:sz="4" w:space="0"/>
            </w:tcBorders>
            <w:vAlign w:val="center"/>
          </w:tcPr>
          <w:p>
            <w:pPr>
              <w:ind w:right="101"/>
              <w:jc w:val="center"/>
              <w:rPr>
                <w:rFonts w:hint="eastAsia" w:ascii="楷体" w:hAnsi="楷体" w:eastAsia="楷体" w:cs="楷体"/>
                <w:color w:val="000000"/>
                <w:sz w:val="24"/>
              </w:rPr>
            </w:pPr>
            <w:r>
              <w:rPr>
                <w:rFonts w:hint="eastAsia" w:ascii="楷体" w:hAnsi="楷体" w:eastAsia="楷体" w:cs="楷体"/>
                <w:color w:val="000000"/>
                <w:sz w:val="24"/>
              </w:rPr>
              <w:t xml:space="preserve">项目内容 </w:t>
            </w:r>
          </w:p>
        </w:tc>
        <w:tc>
          <w:tcPr>
            <w:tcW w:w="775" w:type="dxa"/>
            <w:tcBorders>
              <w:top w:val="single" w:color="000000" w:sz="12" w:space="0"/>
              <w:left w:val="single" w:color="000000" w:sz="4" w:space="0"/>
              <w:bottom w:val="single" w:color="000000" w:sz="4" w:space="0"/>
              <w:right w:val="single" w:color="000000" w:sz="4" w:space="0"/>
            </w:tcBorders>
            <w:vAlign w:val="center"/>
          </w:tcPr>
          <w:p>
            <w:pPr>
              <w:ind w:right="104"/>
              <w:jc w:val="center"/>
              <w:rPr>
                <w:rFonts w:hint="eastAsia" w:ascii="楷体" w:hAnsi="楷体" w:eastAsia="楷体" w:cs="楷体"/>
                <w:color w:val="000000"/>
                <w:sz w:val="24"/>
              </w:rPr>
            </w:pPr>
            <w:r>
              <w:rPr>
                <w:rFonts w:hint="eastAsia" w:ascii="楷体" w:hAnsi="楷体" w:eastAsia="楷体" w:cs="楷体"/>
                <w:color w:val="000000"/>
                <w:sz w:val="24"/>
              </w:rPr>
              <w:t xml:space="preserve">数量 </w:t>
            </w:r>
          </w:p>
        </w:tc>
        <w:tc>
          <w:tcPr>
            <w:tcW w:w="2450" w:type="dxa"/>
            <w:tcBorders>
              <w:top w:val="single" w:color="000000" w:sz="12" w:space="0"/>
              <w:left w:val="single" w:color="000000" w:sz="4" w:space="0"/>
              <w:bottom w:val="single" w:color="000000" w:sz="4" w:space="0"/>
              <w:right w:val="single" w:color="000000" w:sz="4" w:space="0"/>
            </w:tcBorders>
            <w:vAlign w:val="center"/>
          </w:tcPr>
          <w:p>
            <w:pPr>
              <w:ind w:right="98"/>
              <w:jc w:val="center"/>
              <w:rPr>
                <w:rFonts w:hint="eastAsia" w:ascii="楷体" w:hAnsi="楷体" w:eastAsia="楷体" w:cs="楷体"/>
                <w:color w:val="000000"/>
                <w:sz w:val="24"/>
              </w:rPr>
            </w:pPr>
            <w:r>
              <w:rPr>
                <w:rFonts w:hint="eastAsia" w:ascii="楷体" w:hAnsi="楷体" w:eastAsia="楷体" w:cs="楷体"/>
                <w:color w:val="000000"/>
                <w:sz w:val="24"/>
              </w:rPr>
              <w:t xml:space="preserve">项目预算 </w:t>
            </w:r>
          </w:p>
        </w:tc>
        <w:tc>
          <w:tcPr>
            <w:tcW w:w="1400" w:type="dxa"/>
            <w:tcBorders>
              <w:top w:val="single" w:color="000000" w:sz="12" w:space="0"/>
              <w:left w:val="single" w:color="000000" w:sz="4" w:space="0"/>
              <w:bottom w:val="single" w:color="000000" w:sz="4" w:space="0"/>
              <w:right w:val="single" w:color="000000" w:sz="12" w:space="0"/>
            </w:tcBorders>
            <w:vAlign w:val="center"/>
          </w:tcPr>
          <w:p>
            <w:pPr>
              <w:ind w:right="96"/>
              <w:jc w:val="center"/>
              <w:rPr>
                <w:rFonts w:hint="eastAsia" w:ascii="楷体" w:hAnsi="楷体" w:eastAsia="楷体" w:cs="楷体"/>
                <w:color w:val="000000"/>
                <w:sz w:val="24"/>
              </w:rPr>
            </w:pPr>
            <w:r>
              <w:rPr>
                <w:rFonts w:hint="eastAsia" w:ascii="楷体" w:hAnsi="楷体" w:eastAsia="楷体" w:cs="楷体"/>
                <w:color w:val="000000"/>
                <w:sz w:val="24"/>
              </w:rPr>
              <w:t xml:space="preserve">服务期限 </w:t>
            </w:r>
          </w:p>
        </w:tc>
        <w:tc>
          <w:tcPr>
            <w:tcW w:w="1350" w:type="dxa"/>
            <w:tcBorders>
              <w:top w:val="single" w:color="000000" w:sz="12" w:space="0"/>
              <w:left w:val="single" w:color="000000" w:sz="4" w:space="0"/>
              <w:bottom w:val="single" w:color="000000" w:sz="4" w:space="0"/>
              <w:right w:val="single" w:color="000000" w:sz="12" w:space="0"/>
            </w:tcBorders>
            <w:vAlign w:val="center"/>
          </w:tcPr>
          <w:p>
            <w:pPr>
              <w:ind w:right="96"/>
              <w:jc w:val="center"/>
              <w:rPr>
                <w:rFonts w:hint="eastAsia" w:ascii="楷体" w:hAnsi="楷体" w:eastAsia="楷体" w:cs="楷体"/>
                <w:color w:val="000000"/>
                <w:sz w:val="24"/>
              </w:rPr>
            </w:pPr>
            <w:r>
              <w:rPr>
                <w:rFonts w:hint="eastAsia" w:ascii="楷体" w:hAnsi="楷体" w:eastAsia="楷体" w:cs="楷体"/>
                <w:color w:val="000000"/>
                <w:sz w:val="24"/>
              </w:rPr>
              <w:t>服务要求</w:t>
            </w:r>
          </w:p>
        </w:tc>
      </w:tr>
      <w:tr>
        <w:tblPrEx>
          <w:tblCellMar>
            <w:top w:w="0" w:type="dxa"/>
            <w:left w:w="144" w:type="dxa"/>
            <w:bottom w:w="0" w:type="dxa"/>
            <w:right w:w="46" w:type="dxa"/>
          </w:tblCellMar>
        </w:tblPrEx>
        <w:trPr>
          <w:trHeight w:val="958" w:hRule="atLeast"/>
        </w:trPr>
        <w:tc>
          <w:tcPr>
            <w:tcW w:w="2281" w:type="dxa"/>
            <w:tcBorders>
              <w:top w:val="single" w:color="000000" w:sz="4" w:space="0"/>
              <w:left w:val="single" w:color="000000" w:sz="12" w:space="0"/>
              <w:bottom w:val="single" w:color="000000" w:sz="12" w:space="0"/>
              <w:right w:val="single" w:color="000000" w:sz="4" w:space="0"/>
            </w:tcBorders>
            <w:vAlign w:val="center"/>
          </w:tcPr>
          <w:p>
            <w:pPr>
              <w:ind w:right="101"/>
              <w:jc w:val="center"/>
              <w:rPr>
                <w:rFonts w:hint="eastAsia" w:ascii="楷体" w:hAnsi="楷体" w:eastAsia="楷体" w:cs="楷体"/>
                <w:color w:val="000000"/>
                <w:sz w:val="24"/>
              </w:rPr>
            </w:pPr>
            <w:r>
              <w:rPr>
                <w:rFonts w:hint="eastAsia" w:ascii="楷体" w:hAnsi="楷体" w:eastAsia="楷体" w:cs="楷体"/>
                <w:color w:val="000000"/>
                <w:sz w:val="24"/>
              </w:rPr>
              <w:t>联邦工业城 A8 幢厂房更换电梯</w:t>
            </w:r>
          </w:p>
        </w:tc>
        <w:tc>
          <w:tcPr>
            <w:tcW w:w="775" w:type="dxa"/>
            <w:tcBorders>
              <w:top w:val="single" w:color="000000" w:sz="4" w:space="0"/>
              <w:left w:val="single" w:color="000000" w:sz="4" w:space="0"/>
              <w:bottom w:val="single" w:color="000000" w:sz="12" w:space="0"/>
              <w:right w:val="single" w:color="000000" w:sz="4" w:space="0"/>
            </w:tcBorders>
            <w:vAlign w:val="center"/>
          </w:tcPr>
          <w:p>
            <w:pPr>
              <w:ind w:right="101"/>
              <w:jc w:val="center"/>
              <w:rPr>
                <w:rFonts w:hint="eastAsia" w:ascii="楷体" w:hAnsi="楷体" w:eastAsia="楷体" w:cs="楷体"/>
                <w:color w:val="000000"/>
                <w:sz w:val="24"/>
              </w:rPr>
            </w:pPr>
            <w:r>
              <w:rPr>
                <w:rFonts w:hint="eastAsia" w:ascii="楷体" w:hAnsi="楷体" w:eastAsia="楷体" w:cs="楷体"/>
                <w:color w:val="000000"/>
                <w:sz w:val="24"/>
              </w:rPr>
              <w:t>1项</w:t>
            </w:r>
          </w:p>
        </w:tc>
        <w:tc>
          <w:tcPr>
            <w:tcW w:w="2450" w:type="dxa"/>
            <w:tcBorders>
              <w:top w:val="single" w:color="000000" w:sz="4" w:space="0"/>
              <w:left w:val="single" w:color="000000" w:sz="4" w:space="0"/>
              <w:bottom w:val="single" w:color="000000" w:sz="12" w:space="0"/>
              <w:right w:val="single" w:color="000000" w:sz="4" w:space="0"/>
            </w:tcBorders>
            <w:vAlign w:val="center"/>
          </w:tcPr>
          <w:p>
            <w:pPr>
              <w:jc w:val="center"/>
              <w:rPr>
                <w:rFonts w:hint="eastAsia" w:ascii="楷体" w:hAnsi="楷体" w:eastAsia="楷体" w:cs="楷体"/>
                <w:color w:val="000000"/>
                <w:sz w:val="24"/>
              </w:rPr>
            </w:pPr>
            <w:r>
              <w:rPr>
                <w:rFonts w:hint="eastAsia" w:ascii="楷体" w:hAnsi="楷体" w:eastAsia="楷体" w:cs="楷体"/>
                <w:sz w:val="24"/>
              </w:rPr>
              <w:t>320,540.00</w:t>
            </w:r>
            <w:r>
              <w:rPr>
                <w:rFonts w:hint="eastAsia" w:ascii="楷体" w:hAnsi="楷体" w:eastAsia="楷体" w:cs="楷体"/>
                <w:color w:val="000000"/>
                <w:sz w:val="24"/>
              </w:rPr>
              <w:t>元</w:t>
            </w:r>
          </w:p>
        </w:tc>
        <w:tc>
          <w:tcPr>
            <w:tcW w:w="1400" w:type="dxa"/>
            <w:tcBorders>
              <w:top w:val="single" w:color="000000" w:sz="4" w:space="0"/>
              <w:left w:val="single" w:color="000000" w:sz="4" w:space="0"/>
              <w:bottom w:val="single" w:color="000000" w:sz="12" w:space="0"/>
              <w:right w:val="single" w:color="000000" w:sz="12" w:space="0"/>
            </w:tcBorders>
            <w:vAlign w:val="center"/>
          </w:tcPr>
          <w:p>
            <w:pPr>
              <w:jc w:val="center"/>
              <w:rPr>
                <w:rFonts w:hint="eastAsia" w:ascii="楷体" w:hAnsi="楷体" w:eastAsia="楷体" w:cs="楷体"/>
                <w:color w:val="000000"/>
                <w:sz w:val="24"/>
              </w:rPr>
            </w:pPr>
            <w:r>
              <w:rPr>
                <w:rFonts w:hint="eastAsia" w:ascii="楷体" w:hAnsi="楷体" w:eastAsia="楷体" w:cs="楷体"/>
                <w:sz w:val="24"/>
              </w:rPr>
              <w:t>60</w:t>
            </w:r>
            <w:r>
              <w:rPr>
                <w:rFonts w:hint="eastAsia" w:ascii="楷体" w:hAnsi="楷体" w:eastAsia="楷体" w:cs="楷体"/>
                <w:sz w:val="24"/>
                <w:lang w:val="en-US" w:eastAsia="zh-CN"/>
              </w:rPr>
              <w:t>日</w:t>
            </w:r>
            <w:r>
              <w:rPr>
                <w:rFonts w:hint="eastAsia" w:ascii="楷体" w:hAnsi="楷体" w:eastAsia="楷体" w:cs="楷体"/>
                <w:sz w:val="24"/>
              </w:rPr>
              <w:t>历天</w:t>
            </w:r>
          </w:p>
        </w:tc>
        <w:tc>
          <w:tcPr>
            <w:tcW w:w="1350" w:type="dxa"/>
            <w:tcBorders>
              <w:top w:val="single" w:color="000000" w:sz="4" w:space="0"/>
              <w:left w:val="single" w:color="000000" w:sz="4" w:space="0"/>
              <w:bottom w:val="single" w:color="000000" w:sz="12" w:space="0"/>
              <w:right w:val="single" w:color="000000" w:sz="12" w:space="0"/>
            </w:tcBorders>
            <w:vAlign w:val="center"/>
          </w:tcPr>
          <w:p>
            <w:pPr>
              <w:jc w:val="center"/>
              <w:rPr>
                <w:rFonts w:hint="eastAsia" w:ascii="楷体" w:hAnsi="楷体" w:eastAsia="楷体" w:cs="楷体"/>
                <w:sz w:val="24"/>
              </w:rPr>
            </w:pPr>
            <w:r>
              <w:rPr>
                <w:rFonts w:hint="eastAsia" w:ascii="楷体" w:hAnsi="楷体" w:eastAsia="楷体" w:cs="楷体"/>
                <w:sz w:val="24"/>
              </w:rPr>
              <w:t>详见采购文件</w:t>
            </w:r>
          </w:p>
        </w:tc>
      </w:tr>
    </w:tbl>
    <w:p>
      <w:pPr>
        <w:rPr>
          <w:rFonts w:hint="eastAsia" w:ascii="楷体" w:hAnsi="楷体" w:eastAsia="楷体" w:cs="楷体"/>
          <w:bCs/>
          <w:color w:val="000000" w:themeColor="text1"/>
          <w:sz w:val="24"/>
          <w14:textFill>
            <w14:solidFill>
              <w14:schemeClr w14:val="tx1"/>
            </w14:solidFill>
          </w14:textFill>
        </w:rPr>
      </w:pPr>
    </w:p>
    <w:p>
      <w:pPr>
        <w:tabs>
          <w:tab w:val="left" w:pos="660"/>
        </w:tabs>
        <w:ind w:firstLine="480" w:firstLineChars="200"/>
        <w:rPr>
          <w:rFonts w:hint="eastAsia" w:ascii="楷体" w:hAnsi="楷体" w:eastAsia="楷体" w:cs="楷体"/>
          <w:sz w:val="24"/>
        </w:rPr>
      </w:pPr>
      <w:r>
        <w:rPr>
          <w:rFonts w:hint="eastAsia" w:ascii="楷体" w:hAnsi="楷体" w:eastAsia="楷体" w:cs="楷体"/>
          <w:sz w:val="24"/>
        </w:rPr>
        <w:t>注：以上预算金额包括但不限于中标人员工工资、福利费、员工意外保险费、保洁工具设施费、劳保用品费、公司 管理费、税费以及其他政策性文件规定等一切费用。</w:t>
      </w:r>
    </w:p>
    <w:p>
      <w:pPr>
        <w:tabs>
          <w:tab w:val="left" w:pos="660"/>
        </w:tabs>
        <w:rPr>
          <w:rFonts w:hint="eastAsia" w:ascii="楷体" w:hAnsi="楷体" w:eastAsia="楷体" w:cs="楷体"/>
          <w:sz w:val="24"/>
        </w:rPr>
      </w:pPr>
    </w:p>
    <w:p>
      <w:pPr>
        <w:numPr>
          <w:ilvl w:val="0"/>
          <w:numId w:val="2"/>
        </w:numPr>
        <w:tabs>
          <w:tab w:val="left" w:pos="0"/>
        </w:tabs>
        <w:snapToGrid w:val="0"/>
        <w:spacing w:line="380" w:lineRule="exact"/>
        <w:rPr>
          <w:rFonts w:hint="eastAsia" w:ascii="楷体" w:hAnsi="楷体" w:eastAsia="楷体" w:cs="楷体"/>
          <w:b/>
          <w:bCs/>
          <w:sz w:val="24"/>
        </w:rPr>
      </w:pPr>
      <w:r>
        <w:rPr>
          <w:rFonts w:hint="eastAsia" w:ascii="楷体" w:hAnsi="楷体" w:eastAsia="楷体" w:cs="楷体"/>
          <w:b/>
          <w:bCs/>
          <w:sz w:val="24"/>
        </w:rPr>
        <w:t>2000kg有机房货梯电梯技术规格表（一般规格）：</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5040"/>
        <w:gridCol w:w="1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序号</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规格参数</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P1</w:t>
            </w:r>
          </w:p>
        </w:tc>
        <w:tc>
          <w:tcPr>
            <w:tcW w:w="1970"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电梯型号</w:t>
            </w:r>
          </w:p>
        </w:tc>
        <w:tc>
          <w:tcPr>
            <w:tcW w:w="5040" w:type="dxa"/>
            <w:vAlign w:val="center"/>
          </w:tcPr>
          <w:p>
            <w:pPr>
              <w:tabs>
                <w:tab w:val="right" w:pos="3240"/>
              </w:tabs>
              <w:snapToGrid w:val="0"/>
              <w:spacing w:line="300" w:lineRule="exact"/>
              <w:rPr>
                <w:rFonts w:hint="eastAsia" w:ascii="楷体" w:hAnsi="楷体" w:eastAsia="楷体" w:cs="楷体"/>
                <w:bCs/>
              </w:rPr>
            </w:pPr>
            <w:r>
              <w:rPr>
                <w:rFonts w:hint="eastAsia" w:ascii="楷体" w:hAnsi="楷体" w:eastAsia="楷体" w:cs="楷体"/>
                <w:bCs/>
              </w:rPr>
              <w:t xml:space="preserve">THJ </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2</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额定速度  </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0.5m/s</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3</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额定载重量</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2000Kg</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4</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拖动系统  </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变频调速</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5</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服务楼层/停站</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4层4站5门（首层对通门）</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6</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停层及服务楼层</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1F-4F</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7</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主    层  </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1F</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8</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楼层高度</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1F:4200mm、2F～3F：3800mm、4F：4600mm</w:t>
            </w:r>
          </w:p>
        </w:tc>
        <w:tc>
          <w:tcPr>
            <w:tcW w:w="1970" w:type="dxa"/>
            <w:vAlign w:val="center"/>
          </w:tcPr>
          <w:p>
            <w:pPr>
              <w:snapToGrid w:val="0"/>
              <w:spacing w:line="300" w:lineRule="exact"/>
              <w:rPr>
                <w:rFonts w:hint="eastAsia" w:ascii="楷体" w:hAnsi="楷体" w:eastAsia="楷体" w:cs="楷体"/>
                <w:bCs/>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9</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轿厢内尺寸 </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（宽×深×高）</w:t>
            </w:r>
            <w:r>
              <w:rPr>
                <w:rFonts w:hint="eastAsia" w:ascii="楷体" w:hAnsi="楷体" w:eastAsia="楷体" w:cs="楷体"/>
                <w:bCs/>
                <w:u w:val="single"/>
              </w:rPr>
              <w:t xml:space="preserve"> 1800 </w:t>
            </w:r>
            <w:r>
              <w:rPr>
                <w:rFonts w:hint="eastAsia" w:ascii="楷体" w:hAnsi="楷体" w:eastAsia="楷体" w:cs="楷体"/>
                <w:bCs/>
              </w:rPr>
              <w:t>mm×</w:t>
            </w:r>
            <w:r>
              <w:rPr>
                <w:rFonts w:hint="eastAsia" w:ascii="楷体" w:hAnsi="楷体" w:eastAsia="楷体" w:cs="楷体"/>
                <w:bCs/>
                <w:u w:val="single"/>
              </w:rPr>
              <w:t xml:space="preserve"> 2300  </w:t>
            </w:r>
            <w:r>
              <w:rPr>
                <w:rFonts w:hint="eastAsia" w:ascii="楷体" w:hAnsi="楷体" w:eastAsia="楷体" w:cs="楷体"/>
                <w:bCs/>
              </w:rPr>
              <w:t>mm×</w:t>
            </w:r>
            <w:r>
              <w:rPr>
                <w:rFonts w:hint="eastAsia" w:ascii="楷体" w:hAnsi="楷体" w:eastAsia="楷体" w:cs="楷体"/>
                <w:bCs/>
                <w:u w:val="single"/>
              </w:rPr>
              <w:t>2500</w:t>
            </w:r>
            <w:r>
              <w:rPr>
                <w:rFonts w:hint="eastAsia" w:ascii="楷体" w:hAnsi="楷体" w:eastAsia="楷体" w:cs="楷体"/>
                <w:bCs/>
              </w:rPr>
              <w:t>mm</w:t>
            </w:r>
          </w:p>
        </w:tc>
        <w:tc>
          <w:tcPr>
            <w:tcW w:w="1970" w:type="dxa"/>
            <w:vAlign w:val="center"/>
          </w:tcPr>
          <w:p>
            <w:pPr>
              <w:snapToGrid w:val="0"/>
              <w:spacing w:line="300" w:lineRule="exact"/>
              <w:rPr>
                <w:rFonts w:hint="eastAsia" w:ascii="楷体" w:hAnsi="楷体" w:eastAsia="楷体" w:cs="楷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10</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开门方式</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中分四扇门</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11</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开门净尺寸</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（宽×高）</w:t>
            </w:r>
            <w:r>
              <w:rPr>
                <w:rFonts w:hint="eastAsia" w:ascii="楷体" w:hAnsi="楷体" w:eastAsia="楷体" w:cs="楷体"/>
                <w:bCs/>
                <w:u w:val="single"/>
              </w:rPr>
              <w:t>1800</w:t>
            </w:r>
            <w:r>
              <w:rPr>
                <w:rFonts w:hint="eastAsia" w:ascii="楷体" w:hAnsi="楷体" w:eastAsia="楷体" w:cs="楷体"/>
                <w:bCs/>
              </w:rPr>
              <w:t>mm×</w:t>
            </w:r>
            <w:r>
              <w:rPr>
                <w:rFonts w:hint="eastAsia" w:ascii="楷体" w:hAnsi="楷体" w:eastAsia="楷体" w:cs="楷体"/>
                <w:bCs/>
                <w:u w:val="single"/>
              </w:rPr>
              <w:t>2400</w:t>
            </w:r>
            <w:r>
              <w:rPr>
                <w:rFonts w:hint="eastAsia" w:ascii="楷体" w:hAnsi="楷体" w:eastAsia="楷体" w:cs="楷体"/>
                <w:bCs/>
              </w:rPr>
              <w:t>mm</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12</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井道尺寸  </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（宽×深）</w:t>
            </w:r>
            <w:r>
              <w:rPr>
                <w:rFonts w:hint="eastAsia" w:ascii="楷体" w:hAnsi="楷体" w:eastAsia="楷体" w:cs="楷体"/>
                <w:bCs/>
                <w:u w:val="single"/>
              </w:rPr>
              <w:t xml:space="preserve"> 3200 </w:t>
            </w:r>
            <w:r>
              <w:rPr>
                <w:rFonts w:hint="eastAsia" w:ascii="楷体" w:hAnsi="楷体" w:eastAsia="楷体" w:cs="楷体"/>
                <w:bCs/>
              </w:rPr>
              <w:t>mm×</w:t>
            </w:r>
            <w:r>
              <w:rPr>
                <w:rFonts w:hint="eastAsia" w:ascii="楷体" w:hAnsi="楷体" w:eastAsia="楷体" w:cs="楷体"/>
                <w:bCs/>
                <w:u w:val="single"/>
              </w:rPr>
              <w:t xml:space="preserve"> 2900  </w:t>
            </w:r>
            <w:r>
              <w:rPr>
                <w:rFonts w:hint="eastAsia" w:ascii="楷体" w:hAnsi="楷体" w:eastAsia="楷体" w:cs="楷体"/>
                <w:bCs/>
              </w:rPr>
              <w:t>mm</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13</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顶层高度  </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4620mm </w:t>
            </w:r>
            <w:r>
              <w:rPr>
                <w:rFonts w:hint="eastAsia" w:ascii="楷体" w:hAnsi="楷体" w:eastAsia="楷体" w:cs="楷体"/>
                <w:bCs/>
                <w:color w:val="FF0000"/>
              </w:rPr>
              <w:t xml:space="preserve">  </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14</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底坑深    </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1420mm </w:t>
            </w:r>
            <w:r>
              <w:rPr>
                <w:rFonts w:hint="eastAsia" w:ascii="楷体" w:hAnsi="楷体" w:eastAsia="楷体" w:cs="楷体"/>
                <w:bCs/>
                <w:color w:val="FF0000"/>
              </w:rPr>
              <w:t xml:space="preserve"> </w:t>
            </w:r>
          </w:p>
        </w:tc>
        <w:tc>
          <w:tcPr>
            <w:tcW w:w="1970"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15</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井道结构</w:t>
            </w:r>
          </w:p>
        </w:tc>
        <w:tc>
          <w:tcPr>
            <w:tcW w:w="504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混凝土</w:t>
            </w:r>
            <w:r>
              <w:rPr>
                <w:rFonts w:hint="eastAsia" w:ascii="楷体" w:hAnsi="楷体" w:eastAsia="楷体" w:cs="楷体"/>
                <w:sz w:val="18"/>
              </w:rPr>
              <w:t xml:space="preserve">□ </w:t>
            </w:r>
            <w:r>
              <w:rPr>
                <w:rFonts w:hint="eastAsia" w:ascii="楷体" w:hAnsi="楷体" w:eastAsia="楷体" w:cs="楷体"/>
                <w:bCs/>
              </w:rPr>
              <w:t>;框架砖墙</w:t>
            </w:r>
            <w:r>
              <w:rPr>
                <w:rFonts w:hint="eastAsia" w:ascii="楷体" w:hAnsi="楷体" w:eastAsia="楷体" w:cs="楷体"/>
                <w:sz w:val="18"/>
              </w:rPr>
              <w:t xml:space="preserve">□ ; </w:t>
            </w:r>
            <w:r>
              <w:rPr>
                <w:rFonts w:hint="eastAsia" w:ascii="楷体" w:hAnsi="楷体" w:eastAsia="楷体" w:cs="楷体"/>
                <w:szCs w:val="21"/>
              </w:rPr>
              <w:t>墙厚</w:t>
            </w:r>
            <w:r>
              <w:rPr>
                <w:rFonts w:hint="eastAsia" w:ascii="楷体" w:hAnsi="楷体" w:eastAsia="楷体" w:cs="楷体"/>
                <w:szCs w:val="21"/>
                <w:u w:val="single"/>
              </w:rPr>
              <w:t xml:space="preserve">      </w:t>
            </w:r>
            <w:r>
              <w:rPr>
                <w:rFonts w:hint="eastAsia" w:ascii="楷体" w:hAnsi="楷体" w:eastAsia="楷体" w:cs="楷体"/>
                <w:szCs w:val="21"/>
              </w:rPr>
              <w:t xml:space="preserve">mm ;砖质： </w:t>
            </w:r>
            <w:r>
              <w:rPr>
                <w:rFonts w:hint="eastAsia" w:ascii="楷体" w:hAnsi="楷体" w:eastAsia="楷体" w:cs="楷体"/>
                <w:szCs w:val="21"/>
                <w:u w:val="single"/>
              </w:rPr>
              <w:t xml:space="preserve">        </w:t>
            </w:r>
            <w:r>
              <w:rPr>
                <w:rFonts w:hint="eastAsia" w:ascii="楷体" w:hAnsi="楷体" w:eastAsia="楷体" w:cs="楷体"/>
                <w:sz w:val="18"/>
                <w:u w:val="single"/>
              </w:rPr>
              <w:t xml:space="preserve">  </w:t>
            </w:r>
            <w:r>
              <w:rPr>
                <w:rFonts w:hint="eastAsia" w:ascii="楷体" w:hAnsi="楷体" w:eastAsia="楷体" w:cs="楷体"/>
                <w:sz w:val="18"/>
              </w:rPr>
              <w:t xml:space="preserve">  </w:t>
            </w:r>
          </w:p>
        </w:tc>
        <w:tc>
          <w:tcPr>
            <w:tcW w:w="1970" w:type="dxa"/>
            <w:vAlign w:val="center"/>
          </w:tcPr>
          <w:p>
            <w:pPr>
              <w:snapToGrid w:val="0"/>
              <w:spacing w:line="300" w:lineRule="exact"/>
              <w:rPr>
                <w:rFonts w:hint="eastAsia" w:ascii="楷体" w:hAnsi="楷体" w:eastAsia="楷体" w:cs="楷体"/>
                <w:bCs/>
              </w:rPr>
            </w:pPr>
          </w:p>
        </w:tc>
      </w:tr>
    </w:tbl>
    <w:p>
      <w:pPr>
        <w:ind w:right="-313" w:rightChars="-149"/>
        <w:rPr>
          <w:rFonts w:hint="eastAsia" w:ascii="楷体" w:hAnsi="楷体" w:eastAsia="楷体" w:cs="楷体"/>
        </w:rPr>
      </w:pPr>
    </w:p>
    <w:p>
      <w:pPr>
        <w:pStyle w:val="17"/>
        <w:numPr>
          <w:ilvl w:val="0"/>
          <w:numId w:val="2"/>
        </w:numPr>
        <w:tabs>
          <w:tab w:val="left" w:pos="0"/>
        </w:tabs>
        <w:snapToGrid w:val="0"/>
        <w:spacing w:line="380" w:lineRule="exact"/>
        <w:ind w:firstLineChars="0"/>
        <w:rPr>
          <w:rFonts w:hint="eastAsia" w:ascii="楷体" w:hAnsi="楷体" w:eastAsia="楷体" w:cs="楷体"/>
          <w:b/>
          <w:bCs/>
          <w:sz w:val="24"/>
        </w:rPr>
      </w:pPr>
      <w:r>
        <w:rPr>
          <w:rFonts w:hint="eastAsia" w:ascii="楷体" w:hAnsi="楷体" w:eastAsia="楷体" w:cs="楷体"/>
          <w:b/>
          <w:bCs/>
          <w:sz w:val="24"/>
        </w:rPr>
        <w:t>安装要求及数量：</w:t>
      </w:r>
    </w:p>
    <w:p>
      <w:pPr>
        <w:tabs>
          <w:tab w:val="left" w:pos="660"/>
        </w:tabs>
        <w:ind w:firstLine="480" w:firstLineChars="200"/>
        <w:rPr>
          <w:rFonts w:hint="eastAsia" w:ascii="楷体" w:hAnsi="楷体" w:eastAsia="楷体" w:cs="楷体"/>
          <w:sz w:val="24"/>
        </w:rPr>
      </w:pPr>
      <w:r>
        <w:rPr>
          <w:rFonts w:hint="eastAsia" w:ascii="楷体" w:hAnsi="楷体" w:eastAsia="楷体" w:cs="楷体"/>
          <w:sz w:val="24"/>
        </w:rPr>
        <w:t>1、电梯数量为二台。</w:t>
      </w:r>
      <w:r>
        <w:rPr>
          <w:rFonts w:hint="eastAsia" w:ascii="楷体" w:hAnsi="楷体" w:eastAsia="楷体" w:cs="楷体"/>
        </w:rPr>
        <w:t xml:space="preserve"> </w:t>
      </w:r>
    </w:p>
    <w:p>
      <w:pPr>
        <w:tabs>
          <w:tab w:val="left" w:pos="660"/>
        </w:tabs>
        <w:ind w:firstLine="480" w:firstLineChars="200"/>
        <w:rPr>
          <w:rFonts w:hint="eastAsia" w:ascii="楷体" w:hAnsi="楷体" w:eastAsia="楷体" w:cs="楷体"/>
          <w:sz w:val="24"/>
        </w:rPr>
      </w:pPr>
      <w:r>
        <w:rPr>
          <w:rFonts w:hint="eastAsia" w:ascii="楷体" w:hAnsi="楷体" w:eastAsia="楷体" w:cs="楷体"/>
          <w:sz w:val="24"/>
        </w:rPr>
        <w:t>2、电梯整机设备保用壹年，按国家标准执行壹年维修保养工作。</w:t>
      </w:r>
    </w:p>
    <w:p>
      <w:pPr>
        <w:tabs>
          <w:tab w:val="left" w:pos="660"/>
        </w:tabs>
        <w:ind w:firstLine="480" w:firstLineChars="200"/>
        <w:rPr>
          <w:rFonts w:hint="eastAsia" w:ascii="楷体" w:hAnsi="楷体" w:eastAsia="楷体" w:cs="楷体"/>
          <w:sz w:val="24"/>
        </w:rPr>
      </w:pPr>
      <w:r>
        <w:rPr>
          <w:rFonts w:hint="eastAsia" w:ascii="楷体" w:hAnsi="楷体" w:eastAsia="楷体" w:cs="楷体"/>
          <w:sz w:val="24"/>
        </w:rPr>
        <w:t>3、甲方提供房产证、营业执照复印件给予乙方办理电梯开工告知的手续。</w:t>
      </w:r>
    </w:p>
    <w:p>
      <w:pPr>
        <w:tabs>
          <w:tab w:val="left" w:pos="660"/>
        </w:tabs>
        <w:ind w:firstLine="480" w:firstLineChars="200"/>
        <w:rPr>
          <w:rFonts w:hint="eastAsia" w:ascii="楷体" w:hAnsi="楷体" w:eastAsia="楷体" w:cs="楷体"/>
          <w:sz w:val="24"/>
        </w:rPr>
      </w:pPr>
      <w:r>
        <w:rPr>
          <w:rFonts w:hint="eastAsia" w:ascii="楷体" w:hAnsi="楷体" w:eastAsia="楷体" w:cs="楷体"/>
          <w:sz w:val="24"/>
        </w:rPr>
        <w:t>4、乙方负责旧电梯的行政免费注销手续，旧电梯由乙方免费运走，旧电梯拆卸保险费，废品处理证明，以料代工处理。</w:t>
      </w:r>
    </w:p>
    <w:p>
      <w:pPr>
        <w:tabs>
          <w:tab w:val="left" w:pos="1202"/>
        </w:tabs>
        <w:snapToGrid w:val="0"/>
        <w:spacing w:line="380" w:lineRule="exact"/>
        <w:rPr>
          <w:rFonts w:hint="eastAsia" w:ascii="楷体" w:hAnsi="楷体" w:eastAsia="楷体" w:cs="楷体"/>
          <w:b/>
          <w:bCs/>
          <w:spacing w:val="20"/>
          <w:sz w:val="24"/>
        </w:rPr>
      </w:pPr>
      <w:r>
        <w:rPr>
          <w:rFonts w:hint="eastAsia" w:ascii="楷体" w:hAnsi="楷体" w:eastAsia="楷体" w:cs="楷体"/>
          <w:b/>
          <w:bCs/>
          <w:spacing w:val="20"/>
          <w:sz w:val="24"/>
        </w:rPr>
        <w:t>三、付款方式</w:t>
      </w:r>
    </w:p>
    <w:tbl>
      <w:tblPr>
        <w:tblStyle w:val="1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snapToGrid w:val="0"/>
              <w:spacing w:line="380" w:lineRule="exact"/>
              <w:jc w:val="center"/>
              <w:rPr>
                <w:rFonts w:hint="eastAsia" w:ascii="楷体" w:hAnsi="楷体" w:eastAsia="楷体" w:cs="楷体"/>
                <w:bCs/>
                <w:spacing w:val="20"/>
              </w:rPr>
            </w:pPr>
            <w:r>
              <w:rPr>
                <w:rFonts w:hint="eastAsia" w:ascii="楷体" w:hAnsi="楷体" w:eastAsia="楷体" w:cs="楷体"/>
                <w:bCs/>
              </w:rPr>
              <w:t>序号</w:t>
            </w:r>
          </w:p>
        </w:tc>
        <w:tc>
          <w:tcPr>
            <w:tcW w:w="8820" w:type="dxa"/>
            <w:vAlign w:val="center"/>
          </w:tcPr>
          <w:p>
            <w:pPr>
              <w:snapToGrid w:val="0"/>
              <w:spacing w:line="360" w:lineRule="exact"/>
              <w:rPr>
                <w:rFonts w:hint="eastAsia" w:ascii="楷体" w:hAnsi="楷体" w:eastAsia="楷体" w:cs="楷体"/>
                <w:bCs/>
                <w:spacing w:val="20"/>
              </w:rPr>
            </w:pPr>
            <w:r>
              <w:rPr>
                <w:rFonts w:hint="eastAsia" w:ascii="楷体" w:hAnsi="楷体" w:eastAsia="楷体" w:cs="楷体"/>
                <w:bCs/>
                <w:spacing w:val="20"/>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snapToGrid w:val="0"/>
              <w:spacing w:line="380" w:lineRule="exact"/>
              <w:jc w:val="center"/>
              <w:rPr>
                <w:rFonts w:hint="eastAsia" w:ascii="楷体" w:hAnsi="楷体" w:eastAsia="楷体" w:cs="楷体"/>
                <w:bCs/>
                <w:spacing w:val="20"/>
              </w:rPr>
            </w:pPr>
            <w:r>
              <w:rPr>
                <w:rFonts w:hint="eastAsia" w:ascii="楷体" w:hAnsi="楷体" w:eastAsia="楷体" w:cs="楷体"/>
                <w:bCs/>
                <w:spacing w:val="20"/>
              </w:rPr>
              <w:t>1</w:t>
            </w:r>
          </w:p>
        </w:tc>
        <w:tc>
          <w:tcPr>
            <w:tcW w:w="8820" w:type="dxa"/>
            <w:vAlign w:val="center"/>
          </w:tcPr>
          <w:p>
            <w:pPr>
              <w:snapToGrid w:val="0"/>
              <w:spacing w:line="360" w:lineRule="auto"/>
              <w:jc w:val="left"/>
              <w:rPr>
                <w:rFonts w:hint="eastAsia" w:ascii="楷体" w:hAnsi="楷体" w:eastAsia="楷体" w:cs="楷体"/>
                <w:bCs/>
                <w:spacing w:val="20"/>
              </w:rPr>
            </w:pPr>
            <w:r>
              <w:rPr>
                <w:rFonts w:hint="eastAsia" w:ascii="楷体" w:hAnsi="楷体" w:eastAsia="楷体" w:cs="楷体"/>
                <w:bCs/>
                <w:spacing w:val="20"/>
              </w:rPr>
              <w:t>合同在供需双方签名盖章后立即生效，需方在七天内将总设备款30%定金汇入供方帐号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snapToGrid w:val="0"/>
              <w:spacing w:line="380" w:lineRule="exact"/>
              <w:jc w:val="center"/>
              <w:rPr>
                <w:rFonts w:hint="eastAsia" w:ascii="楷体" w:hAnsi="楷体" w:eastAsia="楷体" w:cs="楷体"/>
                <w:bCs/>
                <w:spacing w:val="20"/>
              </w:rPr>
            </w:pPr>
            <w:r>
              <w:rPr>
                <w:rFonts w:hint="eastAsia" w:ascii="楷体" w:hAnsi="楷体" w:eastAsia="楷体" w:cs="楷体"/>
                <w:bCs/>
                <w:spacing w:val="20"/>
              </w:rPr>
              <w:t>2</w:t>
            </w:r>
          </w:p>
        </w:tc>
        <w:tc>
          <w:tcPr>
            <w:tcW w:w="8820" w:type="dxa"/>
            <w:vAlign w:val="center"/>
          </w:tcPr>
          <w:p>
            <w:pPr>
              <w:snapToGrid w:val="0"/>
              <w:spacing w:line="360" w:lineRule="auto"/>
              <w:jc w:val="left"/>
              <w:rPr>
                <w:rFonts w:hint="eastAsia" w:ascii="楷体" w:hAnsi="楷体" w:eastAsia="楷体" w:cs="楷体"/>
                <w:bCs/>
                <w:spacing w:val="20"/>
              </w:rPr>
            </w:pPr>
            <w:r>
              <w:rPr>
                <w:rFonts w:hint="eastAsia" w:ascii="楷体" w:hAnsi="楷体" w:eastAsia="楷体" w:cs="楷体"/>
                <w:bCs/>
                <w:spacing w:val="20"/>
              </w:rPr>
              <w:t>供方收到定金后正式安排生产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snapToGrid w:val="0"/>
              <w:spacing w:line="380" w:lineRule="exact"/>
              <w:jc w:val="center"/>
              <w:rPr>
                <w:rFonts w:hint="eastAsia" w:ascii="楷体" w:hAnsi="楷体" w:eastAsia="楷体" w:cs="楷体"/>
                <w:bCs/>
                <w:spacing w:val="20"/>
              </w:rPr>
            </w:pPr>
            <w:r>
              <w:rPr>
                <w:rFonts w:hint="eastAsia" w:ascii="楷体" w:hAnsi="楷体" w:eastAsia="楷体" w:cs="楷体"/>
                <w:bCs/>
                <w:spacing w:val="20"/>
              </w:rPr>
              <w:t>3</w:t>
            </w:r>
          </w:p>
        </w:tc>
        <w:tc>
          <w:tcPr>
            <w:tcW w:w="8820" w:type="dxa"/>
            <w:vAlign w:val="center"/>
          </w:tcPr>
          <w:p>
            <w:pPr>
              <w:snapToGrid w:val="0"/>
              <w:spacing w:line="360" w:lineRule="auto"/>
              <w:jc w:val="left"/>
              <w:rPr>
                <w:rFonts w:hint="eastAsia" w:ascii="楷体" w:hAnsi="楷体" w:eastAsia="楷体" w:cs="楷体"/>
                <w:bCs/>
              </w:rPr>
            </w:pPr>
            <w:r>
              <w:rPr>
                <w:rFonts w:hint="eastAsia" w:ascii="楷体" w:hAnsi="楷体" w:eastAsia="楷体" w:cs="楷体"/>
                <w:bCs/>
                <w:spacing w:val="20"/>
              </w:rPr>
              <w:t>设备出厂前十天付50%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snapToGrid w:val="0"/>
              <w:spacing w:line="380" w:lineRule="exact"/>
              <w:jc w:val="center"/>
              <w:rPr>
                <w:rFonts w:hint="eastAsia" w:ascii="楷体" w:hAnsi="楷体" w:eastAsia="楷体" w:cs="楷体"/>
                <w:bCs/>
                <w:spacing w:val="20"/>
              </w:rPr>
            </w:pPr>
            <w:r>
              <w:rPr>
                <w:rFonts w:hint="eastAsia" w:ascii="楷体" w:hAnsi="楷体" w:eastAsia="楷体" w:cs="楷体"/>
                <w:bCs/>
                <w:spacing w:val="20"/>
              </w:rPr>
              <w:t>4</w:t>
            </w:r>
          </w:p>
        </w:tc>
        <w:tc>
          <w:tcPr>
            <w:tcW w:w="8820" w:type="dxa"/>
            <w:vAlign w:val="center"/>
          </w:tcPr>
          <w:p>
            <w:pPr>
              <w:snapToGrid w:val="0"/>
              <w:spacing w:line="360" w:lineRule="auto"/>
              <w:jc w:val="left"/>
              <w:rPr>
                <w:rFonts w:hint="eastAsia" w:ascii="楷体" w:hAnsi="楷体" w:eastAsia="楷体" w:cs="楷体"/>
                <w:bCs/>
                <w:spacing w:val="20"/>
              </w:rPr>
            </w:pPr>
            <w:r>
              <w:rPr>
                <w:rFonts w:hint="eastAsia" w:ascii="楷体" w:hAnsi="楷体" w:eastAsia="楷体" w:cs="楷体"/>
                <w:bCs/>
                <w:spacing w:val="20"/>
              </w:rPr>
              <w:t>电梯安装完毕双方验收后十天内付清余款。</w:t>
            </w:r>
          </w:p>
        </w:tc>
      </w:tr>
    </w:tbl>
    <w:p>
      <w:pPr>
        <w:tabs>
          <w:tab w:val="left" w:pos="0"/>
        </w:tabs>
        <w:spacing w:line="380" w:lineRule="exact"/>
        <w:rPr>
          <w:rFonts w:hint="eastAsia" w:ascii="楷体" w:hAnsi="楷体" w:eastAsia="楷体" w:cs="楷体"/>
          <w:b/>
          <w:bCs/>
          <w:sz w:val="24"/>
        </w:rPr>
      </w:pPr>
      <w:r>
        <w:rPr>
          <w:rFonts w:hint="eastAsia" w:ascii="楷体" w:hAnsi="楷体" w:eastAsia="楷体" w:cs="楷体"/>
          <w:b/>
          <w:bCs/>
          <w:sz w:val="24"/>
        </w:rPr>
        <w:t>四、电梯的生产、安装执行标准</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tabs>
                <w:tab w:val="left" w:pos="540"/>
              </w:tabs>
              <w:spacing w:line="380" w:lineRule="exact"/>
              <w:jc w:val="center"/>
              <w:rPr>
                <w:rFonts w:hint="eastAsia" w:ascii="楷体" w:hAnsi="楷体" w:eastAsia="楷体" w:cs="楷体"/>
                <w:bCs/>
              </w:rPr>
            </w:pPr>
            <w:r>
              <w:rPr>
                <w:rFonts w:hint="eastAsia" w:ascii="楷体" w:hAnsi="楷体" w:eastAsia="楷体" w:cs="楷体"/>
                <w:bCs/>
              </w:rPr>
              <w:t>序号</w:t>
            </w:r>
          </w:p>
        </w:tc>
        <w:tc>
          <w:tcPr>
            <w:tcW w:w="8820" w:type="dxa"/>
            <w:vAlign w:val="center"/>
          </w:tcPr>
          <w:p>
            <w:pPr>
              <w:tabs>
                <w:tab w:val="left" w:pos="540"/>
              </w:tabs>
              <w:spacing w:line="38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tabs>
                <w:tab w:val="left" w:pos="540"/>
              </w:tabs>
              <w:spacing w:line="380" w:lineRule="exact"/>
              <w:jc w:val="center"/>
              <w:rPr>
                <w:rFonts w:hint="eastAsia" w:ascii="楷体" w:hAnsi="楷体" w:eastAsia="楷体" w:cs="楷体"/>
                <w:bCs/>
              </w:rPr>
            </w:pPr>
            <w:r>
              <w:rPr>
                <w:rFonts w:hint="eastAsia" w:ascii="楷体" w:hAnsi="楷体" w:eastAsia="楷体" w:cs="楷体"/>
                <w:bCs/>
              </w:rPr>
              <w:t>1</w:t>
            </w:r>
          </w:p>
        </w:tc>
        <w:tc>
          <w:tcPr>
            <w:tcW w:w="8820" w:type="dxa"/>
            <w:vAlign w:val="center"/>
          </w:tcPr>
          <w:p>
            <w:pPr>
              <w:tabs>
                <w:tab w:val="left" w:pos="540"/>
              </w:tabs>
              <w:spacing w:line="380" w:lineRule="exact"/>
              <w:rPr>
                <w:rFonts w:hint="eastAsia" w:ascii="楷体" w:hAnsi="楷体" w:eastAsia="楷体" w:cs="楷体"/>
                <w:bCs/>
              </w:rPr>
            </w:pPr>
            <w:r>
              <w:rPr>
                <w:rFonts w:hint="eastAsia" w:ascii="楷体" w:hAnsi="楷体" w:eastAsia="楷体" w:cs="楷体"/>
                <w:bCs/>
              </w:rPr>
              <w:t>GB7588-2003《电梯制造与安装安全规范》及第一号修改方案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tabs>
                <w:tab w:val="left" w:pos="540"/>
              </w:tabs>
              <w:spacing w:line="380" w:lineRule="exact"/>
              <w:jc w:val="center"/>
              <w:rPr>
                <w:rFonts w:hint="eastAsia" w:ascii="楷体" w:hAnsi="楷体" w:eastAsia="楷体" w:cs="楷体"/>
                <w:bCs/>
              </w:rPr>
            </w:pPr>
            <w:r>
              <w:rPr>
                <w:rFonts w:hint="eastAsia" w:ascii="楷体" w:hAnsi="楷体" w:eastAsia="楷体" w:cs="楷体"/>
                <w:bCs/>
              </w:rPr>
              <w:t>2</w:t>
            </w:r>
          </w:p>
        </w:tc>
        <w:tc>
          <w:tcPr>
            <w:tcW w:w="8820" w:type="dxa"/>
            <w:vAlign w:val="center"/>
          </w:tcPr>
          <w:p>
            <w:pPr>
              <w:tabs>
                <w:tab w:val="left" w:pos="540"/>
              </w:tabs>
              <w:spacing w:line="380" w:lineRule="exact"/>
              <w:rPr>
                <w:rFonts w:hint="eastAsia" w:ascii="楷体" w:hAnsi="楷体" w:eastAsia="楷体" w:cs="楷体"/>
                <w:bCs/>
              </w:rPr>
            </w:pPr>
            <w:r>
              <w:rPr>
                <w:rFonts w:hint="eastAsia" w:ascii="楷体" w:hAnsi="楷体" w:eastAsia="楷体" w:cs="楷体"/>
                <w:bCs/>
              </w:rPr>
              <w:t>GB/T10058-1997《电梯技术条件》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tabs>
                <w:tab w:val="left" w:pos="540"/>
              </w:tabs>
              <w:spacing w:line="380" w:lineRule="exact"/>
              <w:jc w:val="center"/>
              <w:rPr>
                <w:rFonts w:hint="eastAsia" w:ascii="楷体" w:hAnsi="楷体" w:eastAsia="楷体" w:cs="楷体"/>
                <w:bCs/>
              </w:rPr>
            </w:pPr>
            <w:r>
              <w:rPr>
                <w:rFonts w:hint="eastAsia" w:ascii="楷体" w:hAnsi="楷体" w:eastAsia="楷体" w:cs="楷体"/>
                <w:bCs/>
              </w:rPr>
              <w:t>3</w:t>
            </w:r>
          </w:p>
        </w:tc>
        <w:tc>
          <w:tcPr>
            <w:tcW w:w="8820" w:type="dxa"/>
            <w:vAlign w:val="center"/>
          </w:tcPr>
          <w:p>
            <w:pPr>
              <w:tabs>
                <w:tab w:val="left" w:pos="540"/>
              </w:tabs>
              <w:spacing w:line="380" w:lineRule="exact"/>
              <w:rPr>
                <w:rFonts w:hint="eastAsia" w:ascii="楷体" w:hAnsi="楷体" w:eastAsia="楷体" w:cs="楷体"/>
                <w:bCs/>
              </w:rPr>
            </w:pPr>
            <w:r>
              <w:rPr>
                <w:rFonts w:hint="eastAsia" w:ascii="楷体" w:hAnsi="楷体" w:eastAsia="楷体" w:cs="楷体"/>
                <w:bCs/>
              </w:rPr>
              <w:t>GB10060-1993《电梯安装、验收规范》</w:t>
            </w:r>
          </w:p>
        </w:tc>
      </w:tr>
    </w:tbl>
    <w:p>
      <w:pPr>
        <w:snapToGrid w:val="0"/>
        <w:spacing w:line="580" w:lineRule="exact"/>
        <w:rPr>
          <w:rFonts w:hint="eastAsia" w:ascii="楷体" w:hAnsi="楷体" w:eastAsia="楷体" w:cs="楷体"/>
          <w:b/>
          <w:bCs/>
          <w:sz w:val="24"/>
        </w:rPr>
      </w:pPr>
      <w:r>
        <w:rPr>
          <w:rFonts w:hint="eastAsia" w:ascii="楷体" w:hAnsi="楷体" w:eastAsia="楷体" w:cs="楷体"/>
          <w:b/>
          <w:bCs/>
          <w:sz w:val="24"/>
        </w:rPr>
        <w:t>五、产品随机文件</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880"/>
        <w:gridCol w:w="720"/>
        <w:gridCol w:w="378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序号</w:t>
            </w:r>
          </w:p>
        </w:tc>
        <w:tc>
          <w:tcPr>
            <w:tcW w:w="2880" w:type="dxa"/>
            <w:vAlign w:val="center"/>
          </w:tcPr>
          <w:p>
            <w:pPr>
              <w:snapToGrid w:val="0"/>
              <w:spacing w:line="380" w:lineRule="exact"/>
              <w:rPr>
                <w:rFonts w:hint="eastAsia" w:ascii="楷体" w:hAnsi="楷体" w:eastAsia="楷体" w:cs="楷体"/>
                <w:bCs/>
              </w:rPr>
            </w:pPr>
          </w:p>
        </w:tc>
        <w:tc>
          <w:tcPr>
            <w:tcW w:w="720"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序号</w:t>
            </w:r>
          </w:p>
        </w:tc>
        <w:tc>
          <w:tcPr>
            <w:tcW w:w="3780" w:type="dxa"/>
            <w:vAlign w:val="center"/>
          </w:tcPr>
          <w:p>
            <w:pPr>
              <w:snapToGrid w:val="0"/>
              <w:spacing w:line="380" w:lineRule="exact"/>
              <w:rPr>
                <w:rFonts w:hint="eastAsia" w:ascii="楷体" w:hAnsi="楷体" w:eastAsia="楷体" w:cs="楷体"/>
                <w:bCs/>
              </w:rPr>
            </w:pPr>
          </w:p>
        </w:tc>
        <w:tc>
          <w:tcPr>
            <w:tcW w:w="144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1</w:t>
            </w:r>
          </w:p>
        </w:tc>
        <w:tc>
          <w:tcPr>
            <w:tcW w:w="28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 xml:space="preserve">产品出厂合格证  </w:t>
            </w:r>
          </w:p>
        </w:tc>
        <w:tc>
          <w:tcPr>
            <w:tcW w:w="720"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7</w:t>
            </w:r>
          </w:p>
        </w:tc>
        <w:tc>
          <w:tcPr>
            <w:tcW w:w="37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电梯安装调试说明书</w:t>
            </w:r>
          </w:p>
        </w:tc>
        <w:tc>
          <w:tcPr>
            <w:tcW w:w="1440" w:type="dxa"/>
            <w:vAlign w:val="center"/>
          </w:tcPr>
          <w:p>
            <w:pPr>
              <w:snapToGrid w:val="0"/>
              <w:spacing w:line="38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2</w:t>
            </w:r>
          </w:p>
        </w:tc>
        <w:tc>
          <w:tcPr>
            <w:tcW w:w="28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产品装箱单</w:t>
            </w:r>
          </w:p>
        </w:tc>
        <w:tc>
          <w:tcPr>
            <w:tcW w:w="720"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8</w:t>
            </w:r>
          </w:p>
        </w:tc>
        <w:tc>
          <w:tcPr>
            <w:tcW w:w="37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电梯使用维护说明书</w:t>
            </w:r>
          </w:p>
        </w:tc>
        <w:tc>
          <w:tcPr>
            <w:tcW w:w="1440" w:type="dxa"/>
            <w:vAlign w:val="center"/>
          </w:tcPr>
          <w:p>
            <w:pPr>
              <w:snapToGrid w:val="0"/>
              <w:spacing w:line="38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3</w:t>
            </w:r>
          </w:p>
        </w:tc>
        <w:tc>
          <w:tcPr>
            <w:tcW w:w="28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 xml:space="preserve">井道图  </w:t>
            </w:r>
          </w:p>
        </w:tc>
        <w:tc>
          <w:tcPr>
            <w:tcW w:w="720"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9</w:t>
            </w:r>
          </w:p>
        </w:tc>
        <w:tc>
          <w:tcPr>
            <w:tcW w:w="37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主要部件型式试验合格证</w:t>
            </w:r>
          </w:p>
        </w:tc>
        <w:tc>
          <w:tcPr>
            <w:tcW w:w="1440" w:type="dxa"/>
            <w:vAlign w:val="center"/>
          </w:tcPr>
          <w:p>
            <w:pPr>
              <w:snapToGrid w:val="0"/>
              <w:spacing w:line="38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4</w:t>
            </w:r>
          </w:p>
        </w:tc>
        <w:tc>
          <w:tcPr>
            <w:tcW w:w="28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电梯电气图</w:t>
            </w:r>
          </w:p>
        </w:tc>
        <w:tc>
          <w:tcPr>
            <w:tcW w:w="720"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10</w:t>
            </w:r>
          </w:p>
        </w:tc>
        <w:tc>
          <w:tcPr>
            <w:tcW w:w="37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电梯专用钥匙壹套</w:t>
            </w:r>
          </w:p>
        </w:tc>
        <w:tc>
          <w:tcPr>
            <w:tcW w:w="1440" w:type="dxa"/>
            <w:vAlign w:val="center"/>
          </w:tcPr>
          <w:p>
            <w:pPr>
              <w:snapToGrid w:val="0"/>
              <w:spacing w:line="38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5</w:t>
            </w:r>
          </w:p>
        </w:tc>
        <w:tc>
          <w:tcPr>
            <w:tcW w:w="2880" w:type="dxa"/>
            <w:vAlign w:val="center"/>
          </w:tcPr>
          <w:p>
            <w:pPr>
              <w:snapToGrid w:val="0"/>
              <w:spacing w:line="380" w:lineRule="exact"/>
              <w:rPr>
                <w:rFonts w:hint="eastAsia" w:ascii="楷体" w:hAnsi="楷体" w:eastAsia="楷体" w:cs="楷体"/>
                <w:bCs/>
              </w:rPr>
            </w:pPr>
            <w:r>
              <w:rPr>
                <w:rFonts w:hint="eastAsia" w:ascii="楷体" w:hAnsi="楷体" w:eastAsia="楷体" w:cs="楷体"/>
                <w:bCs/>
              </w:rPr>
              <w:t>部件安装图</w:t>
            </w:r>
          </w:p>
        </w:tc>
        <w:tc>
          <w:tcPr>
            <w:tcW w:w="720" w:type="dxa"/>
            <w:vAlign w:val="center"/>
          </w:tcPr>
          <w:p>
            <w:pPr>
              <w:snapToGrid w:val="0"/>
              <w:spacing w:line="380" w:lineRule="exact"/>
              <w:jc w:val="center"/>
              <w:rPr>
                <w:rFonts w:hint="eastAsia" w:ascii="楷体" w:hAnsi="楷体" w:eastAsia="楷体" w:cs="楷体"/>
                <w:bCs/>
              </w:rPr>
            </w:pPr>
            <w:r>
              <w:rPr>
                <w:rFonts w:hint="eastAsia" w:ascii="楷体" w:hAnsi="楷体" w:eastAsia="楷体" w:cs="楷体"/>
                <w:bCs/>
              </w:rPr>
              <w:t>11</w:t>
            </w:r>
          </w:p>
        </w:tc>
        <w:tc>
          <w:tcPr>
            <w:tcW w:w="3780" w:type="dxa"/>
            <w:vAlign w:val="center"/>
          </w:tcPr>
          <w:p>
            <w:pPr>
              <w:snapToGrid w:val="0"/>
              <w:spacing w:line="380" w:lineRule="exact"/>
              <w:rPr>
                <w:rFonts w:hint="eastAsia" w:ascii="楷体" w:hAnsi="楷体" w:eastAsia="楷体" w:cs="楷体"/>
                <w:bCs/>
              </w:rPr>
            </w:pPr>
          </w:p>
        </w:tc>
        <w:tc>
          <w:tcPr>
            <w:tcW w:w="1440" w:type="dxa"/>
            <w:vAlign w:val="center"/>
          </w:tcPr>
          <w:p>
            <w:pPr>
              <w:snapToGrid w:val="0"/>
              <w:spacing w:line="380" w:lineRule="exact"/>
              <w:rPr>
                <w:rFonts w:hint="eastAsia" w:ascii="楷体" w:hAnsi="楷体" w:eastAsia="楷体" w:cs="楷体"/>
                <w:bCs/>
              </w:rPr>
            </w:pPr>
          </w:p>
        </w:tc>
      </w:tr>
    </w:tbl>
    <w:p>
      <w:pPr>
        <w:snapToGrid w:val="0"/>
        <w:spacing w:line="540" w:lineRule="exact"/>
        <w:rPr>
          <w:rFonts w:hint="eastAsia" w:ascii="楷体" w:hAnsi="楷体" w:eastAsia="楷体" w:cs="楷体"/>
          <w:b/>
          <w:bCs/>
          <w:sz w:val="24"/>
        </w:rPr>
      </w:pPr>
      <w:r>
        <w:rPr>
          <w:rFonts w:hint="eastAsia" w:ascii="楷体" w:hAnsi="楷体" w:eastAsia="楷体" w:cs="楷体"/>
          <w:b/>
          <w:bCs/>
          <w:sz w:val="24"/>
        </w:rPr>
        <w:t>六、2000kg有机房货梯主要配置说明</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441"/>
        <w:gridCol w:w="576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pPr>
              <w:snapToGrid w:val="0"/>
              <w:spacing w:line="350" w:lineRule="exact"/>
              <w:jc w:val="center"/>
              <w:rPr>
                <w:rFonts w:hint="eastAsia" w:ascii="楷体" w:hAnsi="楷体" w:eastAsia="楷体" w:cs="楷体"/>
                <w:bCs/>
                <w:sz w:val="24"/>
              </w:rPr>
            </w:pPr>
            <w:r>
              <w:rPr>
                <w:rFonts w:hint="eastAsia" w:ascii="楷体" w:hAnsi="楷体" w:eastAsia="楷体" w:cs="楷体"/>
                <w:bCs/>
              </w:rPr>
              <w:t>序号</w:t>
            </w:r>
          </w:p>
        </w:tc>
        <w:tc>
          <w:tcPr>
            <w:tcW w:w="1441" w:type="dxa"/>
            <w:vAlign w:val="center"/>
          </w:tcPr>
          <w:p>
            <w:pPr>
              <w:snapToGrid w:val="0"/>
              <w:spacing w:line="400" w:lineRule="exact"/>
              <w:rPr>
                <w:rFonts w:hint="eastAsia" w:ascii="楷体" w:hAnsi="楷体" w:eastAsia="楷体" w:cs="楷体"/>
                <w:bCs/>
                <w:sz w:val="24"/>
              </w:rPr>
            </w:pPr>
          </w:p>
        </w:tc>
        <w:tc>
          <w:tcPr>
            <w:tcW w:w="5760" w:type="dxa"/>
            <w:vAlign w:val="center"/>
          </w:tcPr>
          <w:p>
            <w:pPr>
              <w:snapToGrid w:val="0"/>
              <w:spacing w:line="400" w:lineRule="exact"/>
              <w:rPr>
                <w:rFonts w:hint="eastAsia" w:ascii="楷体" w:hAnsi="楷体" w:eastAsia="楷体" w:cs="楷体"/>
                <w:bCs/>
                <w:sz w:val="24"/>
              </w:rPr>
            </w:pPr>
          </w:p>
        </w:tc>
        <w:tc>
          <w:tcPr>
            <w:tcW w:w="1800" w:type="dxa"/>
            <w:vAlign w:val="center"/>
          </w:tcPr>
          <w:p>
            <w:pPr>
              <w:snapToGrid w:val="0"/>
              <w:spacing w:line="400" w:lineRule="exact"/>
              <w:jc w:val="center"/>
              <w:rPr>
                <w:rFonts w:hint="eastAsia" w:ascii="楷体" w:hAnsi="楷体" w:eastAsia="楷体" w:cs="楷体"/>
                <w:bCs/>
                <w:sz w:val="24"/>
              </w:rPr>
            </w:pPr>
            <w:r>
              <w:rPr>
                <w:rFonts w:hint="eastAsia" w:ascii="楷体" w:hAnsi="楷体" w:eastAsia="楷体" w:cs="楷体"/>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pPr>
              <w:snapToGrid w:val="0"/>
              <w:spacing w:line="460" w:lineRule="exact"/>
              <w:jc w:val="center"/>
              <w:rPr>
                <w:rFonts w:hint="eastAsia" w:ascii="楷体" w:hAnsi="楷体" w:eastAsia="楷体" w:cs="楷体"/>
                <w:bCs/>
                <w:sz w:val="24"/>
              </w:rPr>
            </w:pPr>
            <w:r>
              <w:rPr>
                <w:rFonts w:hint="eastAsia" w:ascii="楷体" w:hAnsi="楷体" w:eastAsia="楷体" w:cs="楷体"/>
                <w:bCs/>
                <w:sz w:val="24"/>
              </w:rPr>
              <w:t>1</w:t>
            </w:r>
          </w:p>
        </w:tc>
        <w:tc>
          <w:tcPr>
            <w:tcW w:w="1441" w:type="dxa"/>
            <w:vAlign w:val="center"/>
          </w:tcPr>
          <w:p>
            <w:pPr>
              <w:snapToGrid w:val="0"/>
              <w:spacing w:line="400" w:lineRule="exact"/>
              <w:jc w:val="center"/>
              <w:rPr>
                <w:rFonts w:hint="eastAsia" w:ascii="楷体" w:hAnsi="楷体" w:eastAsia="楷体" w:cs="楷体"/>
                <w:bCs/>
                <w:sz w:val="24"/>
              </w:rPr>
            </w:pPr>
            <w:r>
              <w:rPr>
                <w:rFonts w:hint="eastAsia" w:ascii="楷体" w:hAnsi="楷体" w:eastAsia="楷体" w:cs="楷体"/>
                <w:bCs/>
              </w:rPr>
              <w:t>电源</w:t>
            </w:r>
          </w:p>
        </w:tc>
        <w:tc>
          <w:tcPr>
            <w:tcW w:w="5760" w:type="dxa"/>
            <w:vAlign w:val="center"/>
          </w:tcPr>
          <w:p>
            <w:pPr>
              <w:snapToGrid w:val="0"/>
              <w:spacing w:line="340" w:lineRule="exact"/>
              <w:rPr>
                <w:rFonts w:hint="eastAsia" w:ascii="楷体" w:hAnsi="楷体" w:eastAsia="楷体" w:cs="楷体"/>
                <w:bCs/>
              </w:rPr>
            </w:pPr>
            <w:r>
              <w:rPr>
                <w:rFonts w:hint="eastAsia" w:ascii="楷体" w:hAnsi="楷体" w:eastAsia="楷体" w:cs="楷体"/>
                <w:bCs/>
              </w:rPr>
              <w:t>（1）动力：交流三相380V，50HZ，三相五线制（含地线）</w:t>
            </w:r>
          </w:p>
          <w:p>
            <w:pPr>
              <w:snapToGrid w:val="0"/>
              <w:spacing w:line="340" w:lineRule="exact"/>
              <w:rPr>
                <w:rFonts w:hint="eastAsia" w:ascii="楷体" w:hAnsi="楷体" w:eastAsia="楷体" w:cs="楷体"/>
                <w:bCs/>
              </w:rPr>
            </w:pPr>
            <w:r>
              <w:rPr>
                <w:rFonts w:hint="eastAsia" w:ascii="楷体" w:hAnsi="楷体" w:eastAsia="楷体" w:cs="楷体"/>
                <w:bCs/>
              </w:rPr>
              <w:t>（2）照明：单相交流220V，50HZ</w:t>
            </w:r>
          </w:p>
          <w:p>
            <w:pPr>
              <w:snapToGrid w:val="0"/>
              <w:spacing w:line="340" w:lineRule="exact"/>
              <w:rPr>
                <w:rFonts w:hint="eastAsia" w:ascii="楷体" w:hAnsi="楷体" w:eastAsia="楷体" w:cs="楷体"/>
                <w:bCs/>
              </w:rPr>
            </w:pPr>
            <w:r>
              <w:rPr>
                <w:rFonts w:hint="eastAsia" w:ascii="楷体" w:hAnsi="楷体" w:eastAsia="楷体" w:cs="楷体"/>
                <w:bCs/>
              </w:rPr>
              <w:t>（3）注：由业主提供三相五线制电源，零地线始终分离</w:t>
            </w:r>
          </w:p>
          <w:p>
            <w:pPr>
              <w:snapToGrid w:val="0"/>
              <w:spacing w:line="340" w:lineRule="exact"/>
              <w:rPr>
                <w:rFonts w:hint="eastAsia" w:ascii="楷体" w:hAnsi="楷体" w:eastAsia="楷体" w:cs="楷体"/>
                <w:bCs/>
              </w:rPr>
            </w:pPr>
            <w:r>
              <w:rPr>
                <w:rFonts w:hint="eastAsia" w:ascii="楷体" w:hAnsi="楷体" w:eastAsia="楷体" w:cs="楷体"/>
                <w:bCs/>
              </w:rPr>
              <w:t>（4）设备额定能耗约 15KW</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用户提供，并引至机房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sz w:val="24"/>
              </w:rPr>
            </w:pPr>
            <w:r>
              <w:rPr>
                <w:rFonts w:hint="eastAsia" w:ascii="楷体" w:hAnsi="楷体" w:eastAsia="楷体" w:cs="楷体"/>
                <w:bCs/>
                <w:sz w:val="24"/>
              </w:rPr>
              <w:t>2</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机房</w:t>
            </w: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（1）异步曳引机：</w:t>
            </w:r>
            <w:r>
              <w:rPr>
                <w:rFonts w:hint="eastAsia" w:ascii="楷体" w:hAnsi="楷体" w:eastAsia="楷体" w:cs="楷体"/>
                <w:bCs/>
                <w:u w:val="single"/>
              </w:rPr>
              <w:t xml:space="preserve"> 2000 </w:t>
            </w:r>
            <w:r>
              <w:rPr>
                <w:rFonts w:hint="eastAsia" w:ascii="楷体" w:hAnsi="楷体" w:eastAsia="楷体" w:cs="楷体"/>
                <w:bCs/>
              </w:rPr>
              <w:t>kg，</w:t>
            </w:r>
            <w:r>
              <w:rPr>
                <w:rFonts w:hint="eastAsia" w:ascii="楷体" w:hAnsi="楷体" w:eastAsia="楷体" w:cs="楷体"/>
                <w:bCs/>
                <w:u w:val="single"/>
              </w:rPr>
              <w:t xml:space="preserve"> 0.5  </w:t>
            </w:r>
            <w:r>
              <w:rPr>
                <w:rFonts w:hint="eastAsia" w:ascii="楷体" w:hAnsi="楷体" w:eastAsia="楷体" w:cs="楷体"/>
                <w:bCs/>
              </w:rPr>
              <w:t>m/s；</w:t>
            </w:r>
          </w:p>
        </w:tc>
        <w:tc>
          <w:tcPr>
            <w:tcW w:w="1800" w:type="dxa"/>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（2）制动器：二侧独立安全式制动</w:t>
            </w:r>
          </w:p>
        </w:tc>
        <w:tc>
          <w:tcPr>
            <w:tcW w:w="1800" w:type="dxa"/>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 xml:space="preserve">（3）承重梁  </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sz w:val="24"/>
              </w:rPr>
            </w:pPr>
            <w:r>
              <w:rPr>
                <w:rFonts w:hint="eastAsia" w:ascii="楷体" w:hAnsi="楷体" w:eastAsia="楷体" w:cs="楷体"/>
                <w:bCs/>
                <w:sz w:val="24"/>
              </w:rPr>
              <w:t>3</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拖动控制系统VVVF（调频调压调速）HYVF05</w:t>
            </w: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（1）控制柜；全电脑控制系统</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（2）控制系统：VVVF驱动</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一体式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（3）WETON系列旋转编码器</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（4）强电元件为富士系列产品</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sz w:val="24"/>
              </w:rPr>
            </w:pPr>
            <w:r>
              <w:rPr>
                <w:rFonts w:hint="eastAsia" w:ascii="楷体" w:hAnsi="楷体" w:eastAsia="楷体" w:cs="楷体"/>
                <w:bCs/>
                <w:sz w:val="24"/>
              </w:rPr>
              <w:t>4</w:t>
            </w:r>
          </w:p>
        </w:tc>
        <w:tc>
          <w:tcPr>
            <w:tcW w:w="1441" w:type="dxa"/>
            <w:vMerge w:val="restart"/>
            <w:vAlign w:val="center"/>
          </w:tcPr>
          <w:p>
            <w:pPr>
              <w:snapToGrid w:val="0"/>
              <w:spacing w:line="400" w:lineRule="exact"/>
              <w:jc w:val="center"/>
              <w:rPr>
                <w:rFonts w:hint="eastAsia" w:ascii="楷体" w:hAnsi="楷体" w:eastAsia="楷体" w:cs="楷体"/>
                <w:bCs/>
                <w:sz w:val="24"/>
              </w:rPr>
            </w:pPr>
            <w:r>
              <w:rPr>
                <w:rFonts w:hint="eastAsia" w:ascii="楷体" w:hAnsi="楷体" w:eastAsia="楷体" w:cs="楷体"/>
                <w:bCs/>
              </w:rPr>
              <w:t>轿厢</w:t>
            </w:r>
          </w:p>
        </w:tc>
        <w:tc>
          <w:tcPr>
            <w:tcW w:w="5760" w:type="dxa"/>
            <w:vAlign w:val="center"/>
          </w:tcPr>
          <w:p>
            <w:pPr>
              <w:tabs>
                <w:tab w:val="left" w:pos="1140"/>
              </w:tabs>
              <w:snapToGrid w:val="0"/>
              <w:spacing w:line="340" w:lineRule="exact"/>
              <w:ind w:left="525" w:hanging="525" w:hangingChars="250"/>
              <w:rPr>
                <w:rFonts w:hint="eastAsia" w:ascii="楷体" w:hAnsi="楷体" w:eastAsia="楷体" w:cs="楷体"/>
                <w:bCs/>
                <w:sz w:val="24"/>
              </w:rPr>
            </w:pPr>
            <w:r>
              <w:rPr>
                <w:rFonts w:hint="eastAsia" w:ascii="楷体" w:hAnsi="楷体" w:eastAsia="楷体" w:cs="楷体"/>
                <w:bCs/>
              </w:rPr>
              <w:t>（1）轿底、轿架均采用加强型设计和用料，确保轿架的刚度和抗倾覆能力，有效防止轿底在使用过程中出现的凹凸变形，全部用国标型材</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（2）上梁组件 </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（3）立柱组件  </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（4）下梁组件 </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（5）轿    底 </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（6）底    板：花纹钢板制作</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（7）轿门、壁板、厅门采用冷板轧制成型，果绿色烤漆处理</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sz w:val="24"/>
              </w:rPr>
            </w:pPr>
            <w:r>
              <w:rPr>
                <w:rFonts w:hint="eastAsia" w:ascii="楷体" w:hAnsi="楷体" w:eastAsia="楷体" w:cs="楷体"/>
                <w:bCs/>
                <w:sz w:val="24"/>
              </w:rPr>
              <w:t>5</w:t>
            </w:r>
          </w:p>
        </w:tc>
        <w:tc>
          <w:tcPr>
            <w:tcW w:w="1441" w:type="dxa"/>
            <w:vMerge w:val="restart"/>
            <w:vAlign w:val="center"/>
          </w:tcPr>
          <w:p>
            <w:pPr>
              <w:snapToGrid w:val="0"/>
              <w:spacing w:line="400" w:lineRule="exact"/>
              <w:jc w:val="center"/>
              <w:rPr>
                <w:rFonts w:hint="eastAsia" w:ascii="楷体" w:hAnsi="楷体" w:eastAsia="楷体" w:cs="楷体"/>
                <w:bCs/>
                <w:sz w:val="24"/>
              </w:rPr>
            </w:pPr>
            <w:r>
              <w:rPr>
                <w:rFonts w:hint="eastAsia" w:ascii="楷体" w:hAnsi="楷体" w:eastAsia="楷体" w:cs="楷体"/>
                <w:bCs/>
              </w:rPr>
              <w:t>门机层门</w:t>
            </w:r>
          </w:p>
        </w:tc>
        <w:tc>
          <w:tcPr>
            <w:tcW w:w="5760" w:type="dxa"/>
            <w:vAlign w:val="center"/>
          </w:tcPr>
          <w:p>
            <w:pPr>
              <w:tabs>
                <w:tab w:val="left" w:pos="1200"/>
              </w:tabs>
              <w:snapToGrid w:val="0"/>
              <w:spacing w:line="400" w:lineRule="exact"/>
              <w:rPr>
                <w:rFonts w:hint="eastAsia" w:ascii="楷体" w:hAnsi="楷体" w:eastAsia="楷体" w:cs="楷体"/>
                <w:bCs/>
                <w:sz w:val="24"/>
              </w:rPr>
            </w:pPr>
            <w:r>
              <w:rPr>
                <w:rFonts w:hint="eastAsia" w:ascii="楷体" w:hAnsi="楷体" w:eastAsia="楷体" w:cs="楷体"/>
                <w:bCs/>
              </w:rPr>
              <w:t>（1）同步带式自动门机系统及自闭装置</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（2）各层厅门配设标准小门框</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 xml:space="preserve">（3）各层门、门框材料均为冷板轧制成型，果绿色烤漆处理 </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（4）门坎：轿门、厅门均用硬质铝合金特制型材</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sz w:val="24"/>
              </w:rPr>
            </w:pPr>
            <w:r>
              <w:rPr>
                <w:rFonts w:hint="eastAsia" w:ascii="楷体" w:hAnsi="楷体" w:eastAsia="楷体" w:cs="楷体"/>
                <w:bCs/>
                <w:sz w:val="24"/>
              </w:rPr>
              <w:t>6</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信号装置</w:t>
            </w:r>
          </w:p>
        </w:tc>
        <w:tc>
          <w:tcPr>
            <w:tcW w:w="5760" w:type="dxa"/>
            <w:vAlign w:val="center"/>
          </w:tcPr>
          <w:p>
            <w:pPr>
              <w:tabs>
                <w:tab w:val="left" w:pos="1200"/>
              </w:tabs>
              <w:snapToGrid w:val="0"/>
              <w:spacing w:line="400" w:lineRule="exact"/>
              <w:rPr>
                <w:rFonts w:hint="eastAsia" w:ascii="楷体" w:hAnsi="楷体" w:eastAsia="楷体" w:cs="楷体"/>
                <w:bCs/>
                <w:sz w:val="24"/>
              </w:rPr>
            </w:pPr>
            <w:r>
              <w:rPr>
                <w:rFonts w:hint="eastAsia" w:ascii="楷体" w:hAnsi="楷体" w:eastAsia="楷体" w:cs="楷体"/>
                <w:bCs/>
              </w:rPr>
              <w:t xml:space="preserve">（1）数字式轿厢位置指示     </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（2）内外配设轻触式按钮</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（3）所有按钮均有响应指示</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（4）操作面板：全部选用发纹不锈钢</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sz w:val="24"/>
              </w:rPr>
            </w:pPr>
            <w:r>
              <w:rPr>
                <w:rFonts w:hint="eastAsia" w:ascii="楷体" w:hAnsi="楷体" w:eastAsia="楷体" w:cs="楷体"/>
                <w:bCs/>
                <w:sz w:val="24"/>
              </w:rPr>
              <w:t>7</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平衡导向</w:t>
            </w:r>
          </w:p>
        </w:tc>
        <w:tc>
          <w:tcPr>
            <w:tcW w:w="576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（1）主、副导轨采用国标产品</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 xml:space="preserve">（2）钢丝绳 </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（3）平衡装置</w:t>
            </w:r>
          </w:p>
        </w:tc>
        <w:tc>
          <w:tcPr>
            <w:tcW w:w="1800"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（4）导向轮、反绳电梯专用</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sz w:val="24"/>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（5）滑动导靴</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ind w:firstLine="102" w:firstLineChars="49"/>
              <w:jc w:val="center"/>
              <w:rPr>
                <w:rFonts w:hint="eastAsia" w:ascii="楷体" w:hAnsi="楷体" w:eastAsia="楷体" w:cs="楷体"/>
                <w:bCs/>
              </w:rPr>
            </w:pPr>
            <w:r>
              <w:rPr>
                <w:rFonts w:hint="eastAsia" w:ascii="楷体" w:hAnsi="楷体" w:eastAsia="楷体" w:cs="楷体"/>
                <w:bCs/>
              </w:rPr>
              <w:t>8</w:t>
            </w:r>
          </w:p>
        </w:tc>
        <w:tc>
          <w:tcPr>
            <w:tcW w:w="1441" w:type="dxa"/>
            <w:vMerge w:val="restart"/>
            <w:vAlign w:val="center"/>
          </w:tcPr>
          <w:p>
            <w:pPr>
              <w:snapToGrid w:val="0"/>
              <w:spacing w:line="400" w:lineRule="exact"/>
              <w:rPr>
                <w:rFonts w:hint="eastAsia" w:ascii="楷体" w:hAnsi="楷体" w:eastAsia="楷体" w:cs="楷体"/>
                <w:bCs/>
              </w:rPr>
            </w:pPr>
            <w:r>
              <w:rPr>
                <w:rFonts w:hint="eastAsia" w:ascii="楷体" w:hAnsi="楷体" w:eastAsia="楷体" w:cs="楷体"/>
                <w:bCs/>
              </w:rPr>
              <w:t>安全装置</w:t>
            </w: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（1）限速器（下行超速）双向式</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（2）安全钳</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（3）缓冲器</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（4）上下限位保护</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（5）上下极限保护</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647" w:type="dxa"/>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9</w:t>
            </w:r>
          </w:p>
        </w:tc>
        <w:tc>
          <w:tcPr>
            <w:tcW w:w="1441"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撑架</w:t>
            </w: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L65×65构成</w:t>
            </w:r>
          </w:p>
        </w:tc>
        <w:tc>
          <w:tcPr>
            <w:tcW w:w="1800"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10</w:t>
            </w:r>
          </w:p>
        </w:tc>
        <w:tc>
          <w:tcPr>
            <w:tcW w:w="1441"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出入口保护</w:t>
            </w:r>
          </w:p>
        </w:tc>
        <w:tc>
          <w:tcPr>
            <w:tcW w:w="5760"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光幕保护</w:t>
            </w:r>
          </w:p>
        </w:tc>
        <w:tc>
          <w:tcPr>
            <w:tcW w:w="1800" w:type="dxa"/>
            <w:vAlign w:val="center"/>
          </w:tcPr>
          <w:p>
            <w:pPr>
              <w:snapToGrid w:val="0"/>
              <w:spacing w:line="400" w:lineRule="exact"/>
              <w:rPr>
                <w:rFonts w:hint="eastAsia" w:ascii="楷体" w:hAnsi="楷体" w:eastAsia="楷体" w:cs="楷体"/>
                <w:bCs/>
                <w:sz w:val="18"/>
                <w:szCs w:val="18"/>
              </w:rPr>
            </w:pPr>
            <w:r>
              <w:rPr>
                <w:rFonts w:hint="eastAsia" w:ascii="楷体" w:hAnsi="楷体" w:eastAsia="楷体" w:cs="楷体"/>
                <w:bCs/>
              </w:rPr>
              <w:t>广立标配</w:t>
            </w:r>
          </w:p>
        </w:tc>
      </w:tr>
    </w:tbl>
    <w:p>
      <w:pPr>
        <w:snapToGrid w:val="0"/>
        <w:spacing w:line="240" w:lineRule="atLeast"/>
        <w:rPr>
          <w:rFonts w:hint="eastAsia" w:ascii="楷体" w:hAnsi="楷体" w:eastAsia="楷体" w:cs="楷体"/>
          <w:b/>
          <w:bCs/>
          <w:sz w:val="24"/>
        </w:rPr>
      </w:pPr>
    </w:p>
    <w:p>
      <w:pPr>
        <w:tabs>
          <w:tab w:val="left" w:pos="720"/>
        </w:tabs>
        <w:spacing w:line="360" w:lineRule="auto"/>
        <w:rPr>
          <w:rFonts w:hint="eastAsia" w:ascii="楷体" w:hAnsi="楷体" w:eastAsia="楷体" w:cs="楷体"/>
          <w:b/>
          <w:bCs/>
          <w:sz w:val="24"/>
        </w:rPr>
      </w:pPr>
      <w:r>
        <w:rPr>
          <w:rFonts w:hint="eastAsia" w:ascii="楷体" w:hAnsi="楷体" w:eastAsia="楷体" w:cs="楷体"/>
          <w:b/>
          <w:sz w:val="24"/>
        </w:rPr>
        <w:t>七、</w:t>
      </w:r>
      <w:r>
        <w:rPr>
          <w:rFonts w:hint="eastAsia" w:ascii="楷体" w:hAnsi="楷体" w:eastAsia="楷体" w:cs="楷体"/>
          <w:b/>
          <w:bCs/>
          <w:sz w:val="24"/>
        </w:rPr>
        <w:t>GLET控制驱动器（VVVF）进口部件清单</w:t>
      </w:r>
    </w:p>
    <w:tbl>
      <w:tblPr>
        <w:tblStyle w:val="14"/>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2575"/>
        <w:gridCol w:w="2520"/>
        <w:gridCol w:w="216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b/>
                <w:bCs/>
                <w:kern w:val="0"/>
                <w:sz w:val="22"/>
                <w:szCs w:val="22"/>
              </w:rPr>
            </w:pPr>
            <w:r>
              <w:rPr>
                <w:rFonts w:hint="eastAsia" w:ascii="楷体" w:hAnsi="楷体" w:eastAsia="楷体" w:cs="楷体"/>
                <w:b/>
                <w:bCs/>
                <w:kern w:val="0"/>
                <w:sz w:val="22"/>
                <w:szCs w:val="22"/>
              </w:rPr>
              <w:t>序号</w:t>
            </w:r>
          </w:p>
        </w:tc>
        <w:tc>
          <w:tcPr>
            <w:tcW w:w="2575" w:type="dxa"/>
            <w:vAlign w:val="center"/>
          </w:tcPr>
          <w:p>
            <w:pPr>
              <w:widowControl/>
              <w:jc w:val="center"/>
              <w:rPr>
                <w:rFonts w:hint="eastAsia" w:ascii="楷体" w:hAnsi="楷体" w:eastAsia="楷体" w:cs="楷体"/>
                <w:b/>
                <w:bCs/>
                <w:kern w:val="0"/>
                <w:sz w:val="22"/>
                <w:szCs w:val="22"/>
              </w:rPr>
            </w:pPr>
            <w:r>
              <w:rPr>
                <w:rFonts w:hint="eastAsia" w:ascii="楷体" w:hAnsi="楷体" w:eastAsia="楷体" w:cs="楷体"/>
                <w:b/>
                <w:bCs/>
                <w:kern w:val="0"/>
                <w:sz w:val="22"/>
                <w:szCs w:val="22"/>
              </w:rPr>
              <w:t>器件名称</w:t>
            </w:r>
          </w:p>
        </w:tc>
        <w:tc>
          <w:tcPr>
            <w:tcW w:w="2520" w:type="dxa"/>
            <w:vAlign w:val="center"/>
          </w:tcPr>
          <w:p>
            <w:pPr>
              <w:widowControl/>
              <w:jc w:val="center"/>
              <w:rPr>
                <w:rFonts w:hint="eastAsia" w:ascii="楷体" w:hAnsi="楷体" w:eastAsia="楷体" w:cs="楷体"/>
                <w:b/>
                <w:bCs/>
                <w:kern w:val="0"/>
                <w:sz w:val="22"/>
                <w:szCs w:val="22"/>
              </w:rPr>
            </w:pPr>
            <w:r>
              <w:rPr>
                <w:rFonts w:hint="eastAsia" w:ascii="楷体" w:hAnsi="楷体" w:eastAsia="楷体" w:cs="楷体"/>
                <w:b/>
                <w:bCs/>
                <w:kern w:val="0"/>
                <w:sz w:val="22"/>
                <w:szCs w:val="22"/>
              </w:rPr>
              <w:t>型 号</w:t>
            </w:r>
          </w:p>
        </w:tc>
        <w:tc>
          <w:tcPr>
            <w:tcW w:w="2160" w:type="dxa"/>
            <w:vAlign w:val="center"/>
          </w:tcPr>
          <w:p>
            <w:pPr>
              <w:widowControl/>
              <w:jc w:val="center"/>
              <w:rPr>
                <w:rFonts w:hint="eastAsia" w:ascii="楷体" w:hAnsi="楷体" w:eastAsia="楷体" w:cs="楷体"/>
                <w:b/>
                <w:bCs/>
                <w:kern w:val="0"/>
                <w:sz w:val="22"/>
                <w:szCs w:val="22"/>
              </w:rPr>
            </w:pPr>
            <w:r>
              <w:rPr>
                <w:rFonts w:hint="eastAsia" w:ascii="楷体" w:hAnsi="楷体" w:eastAsia="楷体" w:cs="楷体"/>
                <w:b/>
                <w:bCs/>
                <w:kern w:val="0"/>
                <w:sz w:val="22"/>
                <w:szCs w:val="22"/>
              </w:rPr>
              <w:t>公 司</w:t>
            </w:r>
          </w:p>
        </w:tc>
        <w:tc>
          <w:tcPr>
            <w:tcW w:w="1440" w:type="dxa"/>
            <w:vAlign w:val="center"/>
          </w:tcPr>
          <w:p>
            <w:pPr>
              <w:widowControl/>
              <w:jc w:val="center"/>
              <w:rPr>
                <w:rFonts w:hint="eastAsia" w:ascii="楷体" w:hAnsi="楷体" w:eastAsia="楷体" w:cs="楷体"/>
                <w:b/>
                <w:bCs/>
                <w:kern w:val="0"/>
                <w:sz w:val="22"/>
                <w:szCs w:val="22"/>
              </w:rPr>
            </w:pPr>
            <w:r>
              <w:rPr>
                <w:rFonts w:hint="eastAsia" w:ascii="楷体" w:hAnsi="楷体" w:eastAsia="楷体" w:cs="楷体"/>
                <w:b/>
                <w:bCs/>
                <w:kern w:val="0"/>
                <w:sz w:val="22"/>
                <w:szCs w:val="2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VVVF驱动器</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HGFUJI</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广立组装</w:t>
            </w:r>
          </w:p>
        </w:tc>
        <w:tc>
          <w:tcPr>
            <w:tcW w:w="1440" w:type="dxa"/>
            <w:vAlign w:val="center"/>
          </w:tcPr>
          <w:p>
            <w:pPr>
              <w:widowControl/>
              <w:jc w:val="center"/>
              <w:rPr>
                <w:rFonts w:hint="eastAsia" w:ascii="楷体" w:hAnsi="楷体" w:eastAsia="楷体" w:cs="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2</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CPU</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TMS320-2403</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美国 TI</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3</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CPU</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H3687</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日本 日立</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4</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整流桥</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FPXX12KE3</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德国 EUPEC</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5</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逆变桥</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FPXX12KE3</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德国 EUPEC</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6</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主接触器</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G8P-1A4P</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日本 OMRON</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7</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驱动光藕</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A316J</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美国 ANGLENT</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8</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开关电源芯片</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U3844</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美国 IR</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9</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双端口RAM</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CY7C131</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美国 CYPRESS</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10</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CAN总线芯片</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SJA1000T</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荷兰 PHILIPS</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11</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通讯接口芯片</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SN65LBC184</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美国 TI</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12</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端子输入光藕</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NEC2701</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日本 NEC</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13</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旋转编码器光藕</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NEC8701</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日本 NEC</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14</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继电器</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JQIP-24</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日本 松下</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15</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控制监控芯片</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AD708</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美国 AD</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8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16</w:t>
            </w:r>
          </w:p>
        </w:tc>
        <w:tc>
          <w:tcPr>
            <w:tcW w:w="2575"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时钟芯片</w:t>
            </w:r>
          </w:p>
        </w:tc>
        <w:tc>
          <w:tcPr>
            <w:tcW w:w="252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3530A</w:t>
            </w:r>
          </w:p>
        </w:tc>
        <w:tc>
          <w:tcPr>
            <w:tcW w:w="2160" w:type="dxa"/>
            <w:vAlign w:val="center"/>
          </w:tcPr>
          <w:p>
            <w:pPr>
              <w:widowControl/>
              <w:rPr>
                <w:rFonts w:hint="eastAsia" w:ascii="楷体" w:hAnsi="楷体" w:eastAsia="楷体" w:cs="楷体"/>
                <w:kern w:val="0"/>
                <w:sz w:val="20"/>
                <w:szCs w:val="20"/>
              </w:rPr>
            </w:pPr>
            <w:r>
              <w:rPr>
                <w:rFonts w:hint="eastAsia" w:ascii="楷体" w:hAnsi="楷体" w:eastAsia="楷体" w:cs="楷体"/>
                <w:kern w:val="0"/>
                <w:sz w:val="20"/>
                <w:szCs w:val="20"/>
              </w:rPr>
              <w:t>日本 精工</w:t>
            </w:r>
          </w:p>
        </w:tc>
        <w:tc>
          <w:tcPr>
            <w:tcW w:w="1440" w:type="dxa"/>
            <w:vAlign w:val="center"/>
          </w:tcPr>
          <w:p>
            <w:pPr>
              <w:widowControl/>
              <w:jc w:val="center"/>
              <w:rPr>
                <w:rFonts w:hint="eastAsia" w:ascii="楷体" w:hAnsi="楷体" w:eastAsia="楷体" w:cs="楷体"/>
                <w:kern w:val="0"/>
                <w:sz w:val="20"/>
                <w:szCs w:val="20"/>
              </w:rPr>
            </w:pPr>
            <w:r>
              <w:rPr>
                <w:rFonts w:hint="eastAsia" w:ascii="楷体" w:hAnsi="楷体" w:eastAsia="楷体" w:cs="楷体"/>
                <w:kern w:val="0"/>
                <w:sz w:val="20"/>
                <w:szCs w:val="20"/>
              </w:rPr>
              <w:t>　</w:t>
            </w:r>
          </w:p>
        </w:tc>
      </w:tr>
    </w:tbl>
    <w:p>
      <w:pPr>
        <w:tabs>
          <w:tab w:val="left" w:pos="1200"/>
        </w:tabs>
        <w:snapToGrid w:val="0"/>
        <w:spacing w:line="380" w:lineRule="exact"/>
        <w:rPr>
          <w:rFonts w:hint="eastAsia" w:ascii="楷体" w:hAnsi="楷体" w:eastAsia="楷体" w:cs="楷体"/>
          <w:bCs/>
          <w:sz w:val="24"/>
        </w:rPr>
      </w:pPr>
    </w:p>
    <w:p>
      <w:pPr>
        <w:tabs>
          <w:tab w:val="left" w:pos="840"/>
        </w:tabs>
        <w:snapToGrid w:val="0"/>
        <w:spacing w:line="380" w:lineRule="exact"/>
        <w:rPr>
          <w:rFonts w:hint="eastAsia" w:ascii="楷体" w:hAnsi="楷体" w:eastAsia="楷体" w:cs="楷体"/>
        </w:rPr>
      </w:pPr>
      <w:r>
        <w:rPr>
          <w:rFonts w:hint="eastAsia" w:ascii="楷体" w:hAnsi="楷体" w:eastAsia="楷体" w:cs="楷体"/>
          <w:bCs/>
          <w:sz w:val="24"/>
        </w:rPr>
        <w:t>九、2000kg有机房货梯基本功能</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320"/>
        <w:gridCol w:w="636"/>
        <w:gridCol w:w="3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序号</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标准功能表</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序号</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标准功能表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全自动型：可置于无司机或有司机工作状态</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20</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自动平层及正反门再平层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厅外及轿厢方向指示，层楼数字指示</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21</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门故障及开关门堵转保护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 xml:space="preserve">开关门功能：按钮即时开关门功能 </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22</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基站锁梯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4</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运行结束自动开门功能</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23</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多方通话功能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5</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超载控制系统：蜂鸣报警，并处于开门状态</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24</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冲顶、冲底保护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6</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本层开门功能</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25</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顶底层强迫换速保护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7</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无司机时的自动关门功能</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26</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上下限位保护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8</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延时按钮：延时关门及延时提示</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27</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上下极限保护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9</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应急照明</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28</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上下行超速保护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10</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厅、轿门联锁保护</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29</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限速器断绳保护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11</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防夹人安全触板保护</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30</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安全钳制停保护（下行超速或主绳断折）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12</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轿顶检修工作</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31</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制动器检测保护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13</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轿内检修操作</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32</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主接触器粘连保护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14</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电柜应急操作</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33</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断相、错相保护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15</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低速自救运行功能</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34</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故障记录功能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16</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顺向截停，反向登记（JX集选控制功能）</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35</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照明风扇闲时节能功能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17</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厅外及轿厢指令应答按钮</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36</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井道参数自学习功能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18</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轿内报警功能</w:t>
            </w:r>
          </w:p>
        </w:tc>
        <w:tc>
          <w:tcPr>
            <w:tcW w:w="636"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37</w:t>
            </w:r>
          </w:p>
        </w:tc>
        <w:tc>
          <w:tcPr>
            <w:tcW w:w="3864"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变频器多重保护功能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48" w:type="dxa"/>
            <w:vAlign w:val="center"/>
          </w:tcPr>
          <w:p>
            <w:pPr>
              <w:tabs>
                <w:tab w:val="left" w:pos="1200"/>
              </w:tabs>
              <w:snapToGrid w:val="0"/>
              <w:spacing w:line="380" w:lineRule="exact"/>
              <w:jc w:val="center"/>
              <w:rPr>
                <w:rFonts w:hint="eastAsia" w:ascii="楷体" w:hAnsi="楷体" w:eastAsia="楷体" w:cs="楷体"/>
                <w:bCs/>
              </w:rPr>
            </w:pPr>
            <w:r>
              <w:rPr>
                <w:rFonts w:hint="eastAsia" w:ascii="楷体" w:hAnsi="楷体" w:eastAsia="楷体" w:cs="楷体"/>
                <w:bCs/>
              </w:rPr>
              <w:t>19</w:t>
            </w:r>
          </w:p>
        </w:tc>
        <w:tc>
          <w:tcPr>
            <w:tcW w:w="4320" w:type="dxa"/>
            <w:vAlign w:val="center"/>
          </w:tcPr>
          <w:p>
            <w:pPr>
              <w:tabs>
                <w:tab w:val="left" w:pos="1200"/>
              </w:tabs>
              <w:snapToGrid w:val="0"/>
              <w:spacing w:line="380" w:lineRule="exact"/>
              <w:rPr>
                <w:rFonts w:hint="eastAsia" w:ascii="楷体" w:hAnsi="楷体" w:eastAsia="楷体" w:cs="楷体"/>
                <w:bCs/>
              </w:rPr>
            </w:pPr>
            <w:r>
              <w:rPr>
                <w:rFonts w:hint="eastAsia" w:ascii="楷体" w:hAnsi="楷体" w:eastAsia="楷体" w:cs="楷体"/>
                <w:bCs/>
              </w:rPr>
              <w:t>轿内通风和照明功能</w:t>
            </w:r>
          </w:p>
        </w:tc>
        <w:tc>
          <w:tcPr>
            <w:tcW w:w="636" w:type="dxa"/>
            <w:vAlign w:val="center"/>
          </w:tcPr>
          <w:p>
            <w:pPr>
              <w:tabs>
                <w:tab w:val="left" w:pos="1200"/>
              </w:tabs>
              <w:snapToGrid w:val="0"/>
              <w:spacing w:line="380" w:lineRule="exact"/>
              <w:rPr>
                <w:rFonts w:hint="eastAsia" w:ascii="楷体" w:hAnsi="楷体" w:eastAsia="楷体" w:cs="楷体"/>
                <w:bCs/>
              </w:rPr>
            </w:pPr>
          </w:p>
        </w:tc>
        <w:tc>
          <w:tcPr>
            <w:tcW w:w="3864" w:type="dxa"/>
            <w:vAlign w:val="center"/>
          </w:tcPr>
          <w:p>
            <w:pPr>
              <w:tabs>
                <w:tab w:val="left" w:pos="1200"/>
              </w:tabs>
              <w:snapToGrid w:val="0"/>
              <w:spacing w:line="380" w:lineRule="exact"/>
              <w:rPr>
                <w:rFonts w:hint="eastAsia" w:ascii="楷体" w:hAnsi="楷体" w:eastAsia="楷体" w:cs="楷体"/>
                <w:bCs/>
              </w:rPr>
            </w:pPr>
          </w:p>
        </w:tc>
      </w:tr>
    </w:tbl>
    <w:p>
      <w:pPr>
        <w:tabs>
          <w:tab w:val="left" w:pos="1200"/>
        </w:tabs>
        <w:snapToGrid w:val="0"/>
        <w:spacing w:line="380" w:lineRule="exact"/>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jc w:val="center"/>
        <w:rPr>
          <w:rFonts w:hint="eastAsia" w:ascii="楷体" w:hAnsi="楷体" w:eastAsia="楷体" w:cs="楷体"/>
        </w:rPr>
      </w:pPr>
      <w:r>
        <w:rPr>
          <w:rStyle w:val="16"/>
          <w:rFonts w:hint="eastAsia" w:ascii="楷体" w:hAnsi="楷体" w:eastAsia="楷体" w:cs="楷体"/>
          <w:color w:val="000000"/>
          <w:sz w:val="30"/>
          <w:szCs w:val="30"/>
        </w:rPr>
        <w:t>第三部分  合同格式</w:t>
      </w:r>
    </w:p>
    <w:p>
      <w:pPr>
        <w:adjustRightInd w:val="0"/>
        <w:snapToGrid w:val="0"/>
        <w:spacing w:line="360" w:lineRule="auto"/>
        <w:jc w:val="center"/>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(合同签订双方可根据项目具体要求修订，但不得偏离实质性条款)</w:t>
      </w: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pStyle w:val="42"/>
        <w:spacing w:after="100" w:line="360" w:lineRule="auto"/>
        <w:jc w:val="center"/>
        <w:rPr>
          <w:rFonts w:hint="eastAsia" w:ascii="楷体" w:hAnsi="楷体" w:eastAsia="楷体" w:cs="楷体"/>
          <w:b/>
          <w:color w:val="auto"/>
          <w:sz w:val="32"/>
          <w:szCs w:val="32"/>
          <w:lang w:val="zh-TW"/>
        </w:rPr>
      </w:pPr>
      <w:r>
        <w:rPr>
          <w:rFonts w:hint="eastAsia" w:ascii="楷体" w:hAnsi="楷体" w:eastAsia="楷体" w:cs="楷体"/>
          <w:b/>
          <w:color w:val="auto"/>
          <w:sz w:val="32"/>
          <w:szCs w:val="32"/>
          <w:lang w:val="zh-TW"/>
        </w:rPr>
        <w:t>采</w:t>
      </w:r>
    </w:p>
    <w:p>
      <w:pPr>
        <w:pStyle w:val="42"/>
        <w:spacing w:before="936" w:line="360" w:lineRule="auto"/>
        <w:jc w:val="center"/>
        <w:rPr>
          <w:rFonts w:hint="eastAsia" w:ascii="楷体" w:hAnsi="楷体" w:eastAsia="楷体" w:cs="楷体"/>
          <w:b/>
          <w:color w:val="auto"/>
          <w:sz w:val="32"/>
          <w:szCs w:val="32"/>
          <w:lang w:val="zh-TW" w:eastAsia="zh-TW"/>
        </w:rPr>
      </w:pPr>
      <w:r>
        <w:rPr>
          <w:rFonts w:hint="eastAsia" w:ascii="楷体" w:hAnsi="楷体" w:eastAsia="楷体" w:cs="楷体"/>
          <w:b/>
          <w:color w:val="auto"/>
          <w:sz w:val="32"/>
          <w:szCs w:val="32"/>
          <w:lang w:val="zh-TW" w:eastAsia="zh-TW"/>
        </w:rPr>
        <w:t>购</w:t>
      </w:r>
    </w:p>
    <w:p>
      <w:pPr>
        <w:pStyle w:val="42"/>
        <w:spacing w:before="936" w:line="360" w:lineRule="auto"/>
        <w:jc w:val="center"/>
        <w:rPr>
          <w:rFonts w:hint="eastAsia" w:ascii="楷体" w:hAnsi="楷体" w:eastAsia="楷体" w:cs="楷体"/>
          <w:b/>
          <w:color w:val="auto"/>
          <w:sz w:val="32"/>
          <w:szCs w:val="32"/>
          <w:lang w:val="zh-TW" w:eastAsia="zh-TW"/>
        </w:rPr>
      </w:pPr>
      <w:r>
        <w:rPr>
          <w:rFonts w:hint="eastAsia" w:ascii="楷体" w:hAnsi="楷体" w:eastAsia="楷体" w:cs="楷体"/>
          <w:b/>
          <w:color w:val="auto"/>
          <w:sz w:val="32"/>
          <w:szCs w:val="32"/>
          <w:lang w:val="zh-TW" w:eastAsia="zh-TW"/>
        </w:rPr>
        <w:t>合</w:t>
      </w:r>
    </w:p>
    <w:p>
      <w:pPr>
        <w:pStyle w:val="42"/>
        <w:spacing w:before="936" w:line="360" w:lineRule="auto"/>
        <w:jc w:val="center"/>
        <w:rPr>
          <w:rFonts w:hint="eastAsia" w:ascii="楷体" w:hAnsi="楷体" w:eastAsia="楷体" w:cs="楷体"/>
          <w:b/>
          <w:color w:val="auto"/>
          <w:sz w:val="32"/>
          <w:szCs w:val="32"/>
          <w:lang w:val="zh-TW"/>
        </w:rPr>
      </w:pPr>
      <w:r>
        <w:rPr>
          <w:rFonts w:hint="eastAsia" w:ascii="楷体" w:hAnsi="楷体" w:eastAsia="楷体" w:cs="楷体"/>
          <w:b/>
          <w:color w:val="auto"/>
          <w:sz w:val="32"/>
          <w:szCs w:val="32"/>
          <w:lang w:val="zh-TW"/>
        </w:rPr>
        <w:t>同</w:t>
      </w:r>
    </w:p>
    <w:p>
      <w:pPr>
        <w:pStyle w:val="4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rFonts w:hint="eastAsia" w:ascii="楷体" w:hAnsi="楷体" w:eastAsia="楷体" w:cs="楷体"/>
          <w:b/>
          <w:color w:val="auto"/>
          <w:sz w:val="30"/>
          <w:szCs w:val="30"/>
          <w:lang w:eastAsia="zh-CN"/>
        </w:rPr>
      </w:pPr>
    </w:p>
    <w:p>
      <w:pPr>
        <w:pStyle w:val="4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rFonts w:hint="eastAsia" w:ascii="楷体" w:hAnsi="楷体" w:eastAsia="楷体" w:cs="楷体"/>
          <w:b/>
          <w:color w:val="auto"/>
          <w:sz w:val="30"/>
          <w:szCs w:val="30"/>
          <w:lang w:eastAsia="zh-CN"/>
        </w:rPr>
      </w:pPr>
    </w:p>
    <w:p>
      <w:pPr>
        <w:pStyle w:val="4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rFonts w:hint="eastAsia" w:ascii="楷体" w:hAnsi="楷体" w:eastAsia="楷体" w:cs="楷体"/>
          <w:b/>
          <w:color w:val="auto"/>
          <w:sz w:val="30"/>
          <w:szCs w:val="30"/>
          <w:lang w:eastAsia="zh-CN"/>
        </w:rPr>
      </w:pPr>
    </w:p>
    <w:p>
      <w:pPr>
        <w:pStyle w:val="4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rFonts w:hint="eastAsia" w:ascii="楷体" w:hAnsi="楷体" w:eastAsia="楷体" w:cs="楷体"/>
          <w:b/>
          <w:color w:val="auto"/>
          <w:sz w:val="30"/>
          <w:szCs w:val="30"/>
          <w:lang w:eastAsia="zh-CN"/>
        </w:rPr>
      </w:pPr>
    </w:p>
    <w:p>
      <w:pPr>
        <w:pStyle w:val="4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rFonts w:hint="eastAsia" w:ascii="楷体" w:hAnsi="楷体" w:eastAsia="楷体" w:cs="楷体"/>
          <w:b/>
          <w:color w:val="auto"/>
          <w:sz w:val="30"/>
          <w:szCs w:val="30"/>
          <w:lang w:eastAsia="zh-CN"/>
        </w:rPr>
      </w:pPr>
      <w:r>
        <w:rPr>
          <w:rFonts w:hint="eastAsia" w:ascii="楷体" w:hAnsi="楷体" w:eastAsia="楷体" w:cs="楷体"/>
          <w:b/>
          <w:bCs/>
          <w:sz w:val="30"/>
          <w:szCs w:val="30"/>
        </w:rPr>
        <w:t>联邦工业城 A8 幢厂房</w:t>
      </w:r>
      <w:r>
        <w:rPr>
          <w:rFonts w:hint="eastAsia" w:ascii="楷体" w:hAnsi="楷体" w:eastAsia="楷体" w:cs="楷体"/>
          <w:b/>
          <w:color w:val="auto"/>
          <w:sz w:val="30"/>
          <w:szCs w:val="30"/>
          <w:lang w:eastAsia="zh-CN"/>
        </w:rPr>
        <w:t>载货电梯设备更换采购项目</w:t>
      </w:r>
    </w:p>
    <w:p>
      <w:pPr>
        <w:pStyle w:val="4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rFonts w:hint="eastAsia" w:ascii="楷体" w:hAnsi="楷体" w:eastAsia="楷体" w:cs="楷体"/>
          <w:b/>
          <w:color w:val="auto"/>
          <w:sz w:val="30"/>
          <w:szCs w:val="30"/>
          <w:lang w:eastAsia="zh-CN"/>
        </w:rPr>
      </w:pPr>
      <w:r>
        <w:rPr>
          <w:rFonts w:hint="eastAsia" w:ascii="楷体" w:hAnsi="楷体" w:eastAsia="楷体" w:cs="楷体"/>
          <w:b/>
          <w:color w:val="auto"/>
          <w:sz w:val="30"/>
          <w:szCs w:val="30"/>
          <w:lang w:eastAsia="zh-CN"/>
        </w:rPr>
        <w:t>（项目编号：</w:t>
      </w:r>
      <w:r>
        <w:rPr>
          <w:rFonts w:hint="eastAsia" w:ascii="楷体" w:hAnsi="楷体" w:eastAsia="楷体" w:cs="楷体"/>
          <w:sz w:val="30"/>
          <w:szCs w:val="30"/>
        </w:rPr>
        <w:t>HJX20230325-01</w:t>
      </w:r>
      <w:r>
        <w:rPr>
          <w:rFonts w:hint="eastAsia" w:ascii="楷体" w:hAnsi="楷体" w:eastAsia="楷体" w:cs="楷体"/>
          <w:b/>
          <w:color w:val="auto"/>
          <w:sz w:val="30"/>
          <w:szCs w:val="30"/>
          <w:lang w:eastAsia="zh-CN"/>
        </w:rPr>
        <w:t>）</w:t>
      </w:r>
    </w:p>
    <w:p>
      <w:pPr>
        <w:pStyle w:val="42"/>
        <w:spacing w:line="360" w:lineRule="auto"/>
        <w:ind w:firstLine="420"/>
        <w:jc w:val="left"/>
        <w:rPr>
          <w:rFonts w:hint="eastAsia" w:ascii="楷体" w:hAnsi="楷体" w:eastAsia="楷体" w:cs="楷体"/>
          <w:color w:val="auto"/>
          <w:sz w:val="24"/>
          <w:szCs w:val="24"/>
          <w:u w:val="single"/>
        </w:rPr>
      </w:pPr>
    </w:p>
    <w:p>
      <w:pPr>
        <w:pStyle w:val="42"/>
        <w:spacing w:line="360" w:lineRule="auto"/>
        <w:jc w:val="center"/>
        <w:outlineLvl w:val="0"/>
        <w:rPr>
          <w:rFonts w:hint="eastAsia" w:ascii="楷体" w:hAnsi="楷体" w:eastAsia="楷体" w:cs="楷体"/>
          <w:color w:val="auto"/>
          <w:sz w:val="24"/>
          <w:szCs w:val="24"/>
          <w:lang w:val="zh-TW"/>
        </w:rPr>
      </w:pPr>
    </w:p>
    <w:p>
      <w:pPr>
        <w:pStyle w:val="45"/>
        <w:tabs>
          <w:tab w:val="left" w:pos="840"/>
        </w:tabs>
        <w:spacing w:line="360" w:lineRule="auto"/>
        <w:jc w:val="center"/>
        <w:rPr>
          <w:rFonts w:hint="eastAsia" w:ascii="楷体" w:hAnsi="楷体" w:eastAsia="楷体" w:cs="楷体"/>
          <w:color w:val="auto"/>
          <w:sz w:val="24"/>
          <w:szCs w:val="24"/>
          <w:lang w:val="zh-TW"/>
        </w:rPr>
      </w:pPr>
      <w:bookmarkStart w:id="118" w:name="EB438cb3b2321d482abe4fdcd8ec518472"/>
      <w:r>
        <w:rPr>
          <w:rFonts w:hint="eastAsia" w:ascii="楷体" w:hAnsi="楷体" w:eastAsia="楷体" w:cs="楷体"/>
          <w:color w:val="auto"/>
          <w:sz w:val="24"/>
          <w:szCs w:val="24"/>
          <w:lang w:val="zh-TW"/>
        </w:rPr>
        <w:t>一、总    则</w:t>
      </w:r>
    </w:p>
    <w:p>
      <w:pPr>
        <w:pStyle w:val="45"/>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甲方（采购人）：</w:t>
      </w:r>
      <w:r>
        <w:rPr>
          <w:rFonts w:hint="eastAsia" w:ascii="楷体" w:hAnsi="楷体" w:eastAsia="楷体" w:cs="楷体"/>
          <w:sz w:val="24"/>
          <w:szCs w:val="24"/>
        </w:rPr>
        <w:t>广州市番禺联邦工业城有限公司</w:t>
      </w:r>
    </w:p>
    <w:p>
      <w:pPr>
        <w:pStyle w:val="45"/>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 xml:space="preserve">乙方（成交供应商）：        </w:t>
      </w:r>
    </w:p>
    <w:p>
      <w:pPr>
        <w:pStyle w:val="45"/>
        <w:spacing w:line="360" w:lineRule="auto"/>
        <w:ind w:firstLine="420"/>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根据《中华人民共和国民法典》、《中华人民共和国政府采购法》及</w:t>
      </w:r>
      <w:bookmarkEnd w:id="118"/>
      <w:r>
        <w:rPr>
          <w:rFonts w:hint="eastAsia" w:ascii="楷体" w:hAnsi="楷体" w:eastAsia="楷体" w:cs="楷体"/>
          <w:color w:val="auto"/>
          <w:sz w:val="24"/>
          <w:szCs w:val="24"/>
        </w:rPr>
        <w:t>“</w:t>
      </w:r>
      <w:r>
        <w:rPr>
          <w:rFonts w:hint="eastAsia" w:ascii="楷体" w:hAnsi="楷体" w:eastAsia="楷体" w:cs="楷体"/>
          <w:sz w:val="24"/>
          <w:szCs w:val="24"/>
        </w:rPr>
        <w:t>广州市番禺联邦工业城有限公司联邦工业城 A8 幢厂房</w:t>
      </w:r>
      <w:r>
        <w:rPr>
          <w:rFonts w:hint="eastAsia" w:ascii="楷体" w:hAnsi="楷体" w:eastAsia="楷体" w:cs="楷体"/>
          <w:color w:val="auto"/>
          <w:sz w:val="24"/>
          <w:szCs w:val="24"/>
        </w:rPr>
        <w:t>载货电梯设备更换采购项目”</w:t>
      </w:r>
      <w:r>
        <w:rPr>
          <w:rFonts w:hint="eastAsia" w:ascii="楷体" w:hAnsi="楷体" w:eastAsia="楷体" w:cs="楷体"/>
          <w:color w:val="auto"/>
          <w:sz w:val="24"/>
          <w:szCs w:val="24"/>
          <w:lang w:val="zh-TW"/>
        </w:rPr>
        <w:t>（项目编号：</w:t>
      </w:r>
      <w:r>
        <w:rPr>
          <w:rFonts w:hint="eastAsia" w:ascii="楷体" w:hAnsi="楷体" w:eastAsia="楷体" w:cs="楷体"/>
          <w:sz w:val="24"/>
          <w:szCs w:val="24"/>
        </w:rPr>
        <w:t>HJX20230325-01</w:t>
      </w:r>
      <w:r>
        <w:rPr>
          <w:rFonts w:hint="eastAsia" w:ascii="楷体" w:hAnsi="楷体" w:eastAsia="楷体" w:cs="楷体"/>
          <w:color w:val="auto"/>
          <w:sz w:val="24"/>
          <w:szCs w:val="24"/>
          <w:lang w:val="zh-TW"/>
        </w:rPr>
        <w:t>）询价文件的要求和询价结果，经甲乙双方协商一致，签订本合同。</w:t>
      </w: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二、合同标的</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第二条乙方根据甲方要求提供以下货物：</w:t>
      </w:r>
    </w:p>
    <w:tbl>
      <w:tblPr>
        <w:tblStyle w:val="41"/>
        <w:tblW w:w="9078" w:type="dxa"/>
        <w:tblInd w:w="21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875"/>
        <w:gridCol w:w="1683"/>
        <w:gridCol w:w="2693"/>
        <w:gridCol w:w="992"/>
        <w:gridCol w:w="1010"/>
        <w:gridCol w:w="975"/>
        <w:gridCol w:w="85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07" w:hRule="atLeast"/>
        </w:trPr>
        <w:tc>
          <w:tcPr>
            <w:tcW w:w="8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widowControl/>
              <w:spacing w:line="360" w:lineRule="auto"/>
              <w:jc w:val="center"/>
              <w:rPr>
                <w:rFonts w:hint="eastAsia" w:ascii="楷体" w:hAnsi="楷体" w:eastAsia="楷体" w:cs="楷体"/>
                <w:color w:val="auto"/>
                <w:sz w:val="24"/>
                <w:szCs w:val="24"/>
              </w:rPr>
            </w:pPr>
            <w:r>
              <w:rPr>
                <w:rFonts w:hint="eastAsia" w:ascii="楷体" w:hAnsi="楷体" w:eastAsia="楷体" w:cs="楷体"/>
                <w:b/>
                <w:bCs/>
                <w:color w:val="auto"/>
                <w:kern w:val="0"/>
                <w:sz w:val="24"/>
                <w:szCs w:val="24"/>
                <w:lang w:val="zh-TW" w:eastAsia="zh-TW"/>
              </w:rPr>
              <w:t>序号</w:t>
            </w:r>
          </w:p>
        </w:tc>
        <w:tc>
          <w:tcPr>
            <w:tcW w:w="16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widowControl/>
              <w:spacing w:line="360" w:lineRule="auto"/>
              <w:jc w:val="center"/>
              <w:rPr>
                <w:rFonts w:hint="eastAsia" w:ascii="楷体" w:hAnsi="楷体" w:eastAsia="楷体" w:cs="楷体"/>
                <w:color w:val="auto"/>
                <w:sz w:val="24"/>
                <w:szCs w:val="24"/>
              </w:rPr>
            </w:pPr>
            <w:r>
              <w:rPr>
                <w:rFonts w:hint="eastAsia" w:ascii="楷体" w:hAnsi="楷体" w:eastAsia="楷体" w:cs="楷体"/>
                <w:b/>
                <w:bCs/>
                <w:color w:val="auto"/>
                <w:kern w:val="0"/>
                <w:sz w:val="24"/>
                <w:szCs w:val="24"/>
                <w:lang w:val="zh-TW" w:eastAsia="zh-TW"/>
              </w:rPr>
              <w:t>产品名称</w:t>
            </w: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widowControl/>
              <w:spacing w:line="360" w:lineRule="auto"/>
              <w:jc w:val="center"/>
              <w:rPr>
                <w:rFonts w:hint="eastAsia" w:ascii="楷体" w:hAnsi="楷体" w:eastAsia="楷体" w:cs="楷体"/>
                <w:color w:val="auto"/>
                <w:sz w:val="24"/>
                <w:szCs w:val="24"/>
              </w:rPr>
            </w:pPr>
            <w:r>
              <w:rPr>
                <w:rFonts w:hint="eastAsia" w:ascii="楷体" w:hAnsi="楷体" w:eastAsia="楷体" w:cs="楷体"/>
                <w:b/>
                <w:bCs/>
                <w:color w:val="auto"/>
                <w:kern w:val="0"/>
                <w:sz w:val="24"/>
                <w:szCs w:val="24"/>
                <w:lang w:val="zh-TW" w:eastAsia="zh-TW"/>
              </w:rPr>
              <w:t>产品参数</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widowControl/>
              <w:spacing w:line="360" w:lineRule="auto"/>
              <w:jc w:val="center"/>
              <w:rPr>
                <w:rFonts w:hint="eastAsia" w:ascii="楷体" w:hAnsi="楷体" w:eastAsia="楷体" w:cs="楷体"/>
                <w:color w:val="auto"/>
                <w:sz w:val="24"/>
                <w:szCs w:val="24"/>
              </w:rPr>
            </w:pPr>
            <w:r>
              <w:rPr>
                <w:rFonts w:hint="eastAsia" w:ascii="楷体" w:hAnsi="楷体" w:eastAsia="楷体" w:cs="楷体"/>
                <w:b/>
                <w:bCs/>
                <w:color w:val="auto"/>
                <w:kern w:val="0"/>
                <w:sz w:val="24"/>
                <w:szCs w:val="24"/>
                <w:lang w:val="zh-TW" w:eastAsia="zh-TW"/>
              </w:rPr>
              <w:t>数量</w:t>
            </w:r>
          </w:p>
        </w:tc>
        <w:tc>
          <w:tcPr>
            <w:tcW w:w="101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widowControl/>
              <w:spacing w:line="360" w:lineRule="auto"/>
              <w:jc w:val="center"/>
              <w:rPr>
                <w:rFonts w:hint="eastAsia" w:ascii="楷体" w:hAnsi="楷体" w:eastAsia="楷体" w:cs="楷体"/>
                <w:color w:val="auto"/>
                <w:sz w:val="24"/>
                <w:szCs w:val="24"/>
              </w:rPr>
            </w:pPr>
            <w:r>
              <w:rPr>
                <w:rFonts w:hint="eastAsia" w:ascii="楷体" w:hAnsi="楷体" w:eastAsia="楷体" w:cs="楷体"/>
                <w:b/>
                <w:bCs/>
                <w:color w:val="auto"/>
                <w:kern w:val="0"/>
                <w:sz w:val="24"/>
                <w:szCs w:val="24"/>
                <w:lang w:val="zh-TW" w:eastAsia="zh-TW"/>
              </w:rPr>
              <w:t>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widowControl/>
              <w:spacing w:line="360" w:lineRule="auto"/>
              <w:jc w:val="center"/>
              <w:rPr>
                <w:rFonts w:hint="eastAsia" w:ascii="楷体" w:hAnsi="楷体" w:eastAsia="楷体" w:cs="楷体"/>
                <w:color w:val="auto"/>
                <w:sz w:val="24"/>
                <w:szCs w:val="24"/>
              </w:rPr>
            </w:pPr>
            <w:r>
              <w:rPr>
                <w:rFonts w:hint="eastAsia" w:ascii="楷体" w:hAnsi="楷体" w:eastAsia="楷体" w:cs="楷体"/>
                <w:b/>
                <w:bCs/>
                <w:color w:val="auto"/>
                <w:kern w:val="0"/>
                <w:sz w:val="24"/>
                <w:szCs w:val="24"/>
                <w:lang w:val="zh-TW" w:eastAsia="zh-TW"/>
              </w:rPr>
              <w:t>单价（元）</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widowControl/>
              <w:spacing w:line="360" w:lineRule="auto"/>
              <w:jc w:val="center"/>
              <w:rPr>
                <w:rFonts w:hint="eastAsia" w:ascii="楷体" w:hAnsi="楷体" w:eastAsia="楷体" w:cs="楷体"/>
                <w:color w:val="auto"/>
                <w:sz w:val="24"/>
                <w:szCs w:val="24"/>
              </w:rPr>
            </w:pPr>
            <w:r>
              <w:rPr>
                <w:rFonts w:hint="eastAsia" w:ascii="楷体" w:hAnsi="楷体" w:eastAsia="楷体" w:cs="楷体"/>
                <w:b/>
                <w:bCs/>
                <w:color w:val="auto"/>
                <w:kern w:val="0"/>
                <w:sz w:val="24"/>
                <w:szCs w:val="24"/>
                <w:lang w:val="zh-TW" w:eastAsia="zh-TW"/>
              </w:rPr>
              <w:t>小计（元）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68" w:hRule="atLeast"/>
        </w:trPr>
        <w:tc>
          <w:tcPr>
            <w:tcW w:w="8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tLeast"/>
              <w:jc w:val="center"/>
              <w:rPr>
                <w:rFonts w:hint="eastAsia" w:ascii="楷体" w:hAnsi="楷体" w:eastAsia="楷体" w:cs="楷体"/>
                <w:b/>
                <w:sz w:val="18"/>
              </w:rPr>
            </w:pPr>
            <w:r>
              <w:rPr>
                <w:rFonts w:hint="eastAsia" w:ascii="楷体" w:hAnsi="楷体" w:eastAsia="楷体" w:cs="楷体"/>
                <w:b/>
                <w:sz w:val="18"/>
              </w:rPr>
              <w:t>P1～P2</w:t>
            </w:r>
          </w:p>
        </w:tc>
        <w:tc>
          <w:tcPr>
            <w:tcW w:w="16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r>
              <w:rPr>
                <w:rFonts w:hint="eastAsia" w:ascii="楷体" w:hAnsi="楷体" w:eastAsia="楷体" w:cs="楷体"/>
              </w:rPr>
              <w:t>有机房载货电梯</w:t>
            </w: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exact"/>
              <w:rPr>
                <w:rFonts w:hint="eastAsia" w:ascii="楷体" w:hAnsi="楷体" w:eastAsia="楷体" w:cs="楷体"/>
                <w:bCs/>
                <w:szCs w:val="21"/>
              </w:rPr>
            </w:pPr>
            <w:r>
              <w:rPr>
                <w:rFonts w:hint="eastAsia" w:ascii="楷体" w:hAnsi="楷体" w:eastAsia="楷体" w:cs="楷体"/>
                <w:bCs/>
                <w:szCs w:val="21"/>
              </w:rPr>
              <w:t>1.型号：THJ</w:t>
            </w:r>
          </w:p>
          <w:p>
            <w:pPr>
              <w:pBdr>
                <w:top w:val="none" w:color="auto" w:sz="0" w:space="0"/>
                <w:left w:val="none" w:color="auto" w:sz="0" w:space="0"/>
                <w:bottom w:val="none" w:color="auto" w:sz="0" w:space="0"/>
                <w:right w:val="none" w:color="auto" w:sz="0" w:space="0"/>
                <w:between w:val="none" w:color="auto" w:sz="0" w:space="0"/>
              </w:pBdr>
              <w:spacing w:line="240" w:lineRule="exact"/>
              <w:rPr>
                <w:rFonts w:hint="eastAsia" w:ascii="楷体" w:hAnsi="楷体" w:eastAsia="楷体" w:cs="楷体"/>
                <w:bCs/>
                <w:szCs w:val="21"/>
              </w:rPr>
            </w:pPr>
            <w:r>
              <w:rPr>
                <w:rFonts w:hint="eastAsia" w:ascii="楷体" w:hAnsi="楷体" w:eastAsia="楷体" w:cs="楷体"/>
                <w:bCs/>
                <w:szCs w:val="21"/>
              </w:rPr>
              <w:t>2.层数：4层/4站/5门</w:t>
            </w:r>
          </w:p>
          <w:p>
            <w:pPr>
              <w:pBdr>
                <w:top w:val="none" w:color="auto" w:sz="0" w:space="0"/>
                <w:left w:val="none" w:color="auto" w:sz="0" w:space="0"/>
                <w:bottom w:val="none" w:color="auto" w:sz="0" w:space="0"/>
                <w:right w:val="none" w:color="auto" w:sz="0" w:space="0"/>
                <w:between w:val="none" w:color="auto" w:sz="0" w:space="0"/>
              </w:pBdr>
              <w:spacing w:line="240" w:lineRule="exact"/>
              <w:ind w:left="2" w:leftChars="1" w:right="-115" w:rightChars="-55"/>
              <w:rPr>
                <w:rFonts w:hint="eastAsia" w:ascii="楷体" w:hAnsi="楷体" w:eastAsia="楷体" w:cs="楷体"/>
                <w:szCs w:val="21"/>
              </w:rPr>
            </w:pPr>
            <w:r>
              <w:rPr>
                <w:rFonts w:hint="eastAsia" w:ascii="楷体" w:hAnsi="楷体" w:eastAsia="楷体" w:cs="楷体"/>
                <w:bCs/>
                <w:szCs w:val="21"/>
              </w:rPr>
              <w:t>3.提升高度11.8M、速度：0.5m/s，载重2000Kg</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r>
              <w:rPr>
                <w:rFonts w:hint="eastAsia" w:ascii="楷体" w:hAnsi="楷体" w:eastAsia="楷体" w:cs="楷体"/>
              </w:rPr>
              <w:t>2</w:t>
            </w:r>
          </w:p>
        </w:tc>
        <w:tc>
          <w:tcPr>
            <w:tcW w:w="101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r>
              <w:rPr>
                <w:rFonts w:hint="eastAsia" w:ascii="楷体" w:hAnsi="楷体" w:eastAsia="楷体" w:cs="楷体"/>
              </w:rPr>
              <w:t>台</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68" w:hRule="atLeast"/>
        </w:trPr>
        <w:tc>
          <w:tcPr>
            <w:tcW w:w="8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tLeast"/>
              <w:jc w:val="center"/>
              <w:rPr>
                <w:rFonts w:hint="eastAsia" w:ascii="楷体" w:hAnsi="楷体" w:eastAsia="楷体" w:cs="楷体"/>
                <w:b/>
                <w:sz w:val="18"/>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exact"/>
              <w:ind w:left="231" w:leftChars="10" w:right="-115" w:rightChars="-55" w:hanging="210" w:hangingChars="100"/>
              <w:rPr>
                <w:rFonts w:hint="eastAsia" w:ascii="楷体" w:hAnsi="楷体" w:eastAsia="楷体" w:cs="楷体"/>
                <w:szCs w:val="21"/>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p>
        </w:tc>
        <w:tc>
          <w:tcPr>
            <w:tcW w:w="101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8" w:hRule="atLeast"/>
        </w:trPr>
        <w:tc>
          <w:tcPr>
            <w:tcW w:w="8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tLeast"/>
              <w:jc w:val="center"/>
              <w:rPr>
                <w:rFonts w:hint="eastAsia" w:ascii="楷体" w:hAnsi="楷体" w:eastAsia="楷体" w:cs="楷体"/>
                <w:b/>
                <w:sz w:val="18"/>
              </w:rPr>
            </w:pPr>
          </w:p>
        </w:tc>
        <w:tc>
          <w:tcPr>
            <w:tcW w:w="168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exact"/>
              <w:ind w:left="231" w:leftChars="10" w:right="-115" w:rightChars="-55" w:hanging="210" w:hangingChars="100"/>
              <w:rPr>
                <w:rFonts w:hint="eastAsia" w:ascii="楷体" w:hAnsi="楷体" w:eastAsia="楷体" w:cs="楷体"/>
                <w:szCs w:val="21"/>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p>
        </w:tc>
        <w:tc>
          <w:tcPr>
            <w:tcW w:w="101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360" w:lineRule="auto"/>
              <w:jc w:val="center"/>
              <w:rPr>
                <w:rFonts w:hint="eastAsia" w:ascii="楷体" w:hAnsi="楷体" w:eastAsia="楷体" w:cs="楷体"/>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87" w:hRule="atLeast"/>
        </w:trPr>
        <w:tc>
          <w:tcPr>
            <w:tcW w:w="9078" w:type="dxa"/>
            <w:gridSpan w:val="7"/>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42"/>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合同总额：（小写  ）￥元；  大写：。</w:t>
            </w:r>
          </w:p>
        </w:tc>
      </w:tr>
    </w:tbl>
    <w:p>
      <w:pPr>
        <w:pStyle w:val="45"/>
        <w:tabs>
          <w:tab w:val="left" w:pos="840"/>
        </w:tabs>
        <w:spacing w:line="360" w:lineRule="auto"/>
        <w:ind w:left="108" w:hanging="108"/>
        <w:jc w:val="left"/>
        <w:rPr>
          <w:rFonts w:hint="eastAsia" w:ascii="楷体" w:hAnsi="楷体" w:eastAsia="楷体" w:cs="楷体"/>
          <w:color w:val="auto"/>
          <w:sz w:val="24"/>
          <w:szCs w:val="24"/>
        </w:rPr>
      </w:pP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三、质    量</w:t>
      </w:r>
    </w:p>
    <w:p>
      <w:pPr>
        <w:pStyle w:val="45"/>
        <w:tabs>
          <w:tab w:val="left" w:pos="840"/>
        </w:tabs>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第三条  货物质量</w:t>
      </w:r>
    </w:p>
    <w:p>
      <w:pPr>
        <w:pStyle w:val="45"/>
        <w:numPr>
          <w:ilvl w:val="1"/>
          <w:numId w:val="3"/>
        </w:numPr>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乙方须提供全新的、未使用过的货物，是目前的型号，其质量、规格及技术特征符合合同、询价文件、响应文件的要求以及国家标准、行业标准，具备合格证及相关资质证明，无侵权行为、无任何缺陷隐患。</w:t>
      </w:r>
    </w:p>
    <w:p>
      <w:pPr>
        <w:pStyle w:val="45"/>
        <w:numPr>
          <w:ilvl w:val="1"/>
          <w:numId w:val="3"/>
        </w:numPr>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产品必须提供出厂合格证。</w:t>
      </w:r>
    </w:p>
    <w:p>
      <w:pPr>
        <w:pStyle w:val="45"/>
        <w:numPr>
          <w:ilvl w:val="1"/>
          <w:numId w:val="3"/>
        </w:numPr>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货物制造质量出现问题，乙方应负责三包（包修、包换、包退），费用由乙方负责。</w:t>
      </w:r>
    </w:p>
    <w:p>
      <w:pPr>
        <w:pStyle w:val="45"/>
        <w:numPr>
          <w:ilvl w:val="1"/>
          <w:numId w:val="3"/>
        </w:numPr>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货物到现场后由于甲方保管不当造成的质量问题，乙方亦应负责修理，但费用由甲方负担。</w:t>
      </w: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四、交货与验收</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第四条  交货验收、安装调试必须在合同签订后60天内完成。</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第五条交货地点：</w:t>
      </w:r>
      <w:r>
        <w:rPr>
          <w:rFonts w:hint="eastAsia" w:ascii="楷体" w:hAnsi="楷体" w:eastAsia="楷体" w:cs="楷体"/>
          <w:sz w:val="24"/>
        </w:rPr>
        <w:t>广州市番禺区沙头街禺山西路363号</w:t>
      </w:r>
      <w:r>
        <w:rPr>
          <w:rFonts w:hint="eastAsia" w:ascii="楷体" w:hAnsi="楷体" w:eastAsia="楷体" w:cs="楷体"/>
          <w:sz w:val="24"/>
          <w:szCs w:val="24"/>
        </w:rPr>
        <w:t>联邦工业城 A8 幢厂房。</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第六条  验收：</w:t>
      </w:r>
      <w:r>
        <w:rPr>
          <w:rFonts w:hint="eastAsia" w:ascii="楷体" w:hAnsi="楷体" w:eastAsia="楷体" w:cs="楷体"/>
          <w:sz w:val="24"/>
        </w:rPr>
        <w:t>广州市番禺区沙头街禺山西路363号</w:t>
      </w:r>
      <w:r>
        <w:rPr>
          <w:rFonts w:hint="eastAsia" w:ascii="楷体" w:hAnsi="楷体" w:eastAsia="楷体" w:cs="楷体"/>
          <w:sz w:val="24"/>
          <w:szCs w:val="24"/>
        </w:rPr>
        <w:t>联邦工业城 A8 幢厂房。</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第七条  乙方应将所提供货物的装箱清单、用户手册、原厂保修卡、随机资料及配件、随机工具等交付给甲方；乙方不能完整交付货物及本款规定的单证和工具的，视为未按合同约定供货，乙方必须负责补齐，因此导致逾期交付的，由乙方承担相关的违约责任。</w:t>
      </w: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五、合同金额及付款方式</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第八条  合同金额</w:t>
      </w:r>
    </w:p>
    <w:p>
      <w:pPr>
        <w:pStyle w:val="29"/>
        <w:spacing w:line="360" w:lineRule="auto"/>
        <w:ind w:firstLine="420"/>
        <w:rPr>
          <w:rFonts w:hint="eastAsia" w:ascii="楷体" w:hAnsi="楷体" w:eastAsia="楷体" w:cs="楷体"/>
          <w:sz w:val="24"/>
          <w:szCs w:val="24"/>
        </w:rPr>
      </w:pPr>
      <w:r>
        <w:rPr>
          <w:rFonts w:hint="eastAsia" w:ascii="楷体" w:hAnsi="楷体" w:eastAsia="楷体" w:cs="楷体"/>
          <w:sz w:val="24"/>
          <w:szCs w:val="24"/>
          <w:lang w:val="zh-TW"/>
        </w:rPr>
        <w:t>本合同金额为人民币（大写）   （￥       元）。该合同总价包含货物设计、制造、包装、运输、安装调试、检测及验收合格之前及质保期内服务及备品备件发生的所有含税费用。本合同执行期间合同总价不变。</w:t>
      </w:r>
    </w:p>
    <w:p>
      <w:pPr>
        <w:pStyle w:val="29"/>
        <w:spacing w:line="360" w:lineRule="auto"/>
        <w:rPr>
          <w:rFonts w:hint="eastAsia" w:ascii="楷体" w:hAnsi="楷体" w:eastAsia="楷体" w:cs="楷体"/>
          <w:sz w:val="24"/>
          <w:szCs w:val="24"/>
          <w:lang w:val="zh-TW"/>
        </w:rPr>
      </w:pPr>
      <w:r>
        <w:rPr>
          <w:rFonts w:hint="eastAsia" w:ascii="楷体" w:hAnsi="楷体" w:eastAsia="楷体" w:cs="楷体"/>
          <w:sz w:val="24"/>
          <w:szCs w:val="24"/>
          <w:lang w:val="zh-TW"/>
        </w:rPr>
        <w:t>第九条  付款方式</w:t>
      </w:r>
    </w:p>
    <w:p>
      <w:pPr>
        <w:pStyle w:val="29"/>
        <w:spacing w:line="360" w:lineRule="auto"/>
        <w:rPr>
          <w:rFonts w:hint="eastAsia" w:ascii="楷体" w:hAnsi="楷体" w:eastAsia="楷体" w:cs="楷体"/>
          <w:sz w:val="24"/>
          <w:szCs w:val="24"/>
          <w:lang w:val="zh-TW"/>
        </w:rPr>
      </w:pPr>
      <w:r>
        <w:rPr>
          <w:rFonts w:hint="eastAsia" w:ascii="楷体" w:hAnsi="楷体" w:eastAsia="楷体" w:cs="楷体"/>
          <w:sz w:val="24"/>
          <w:szCs w:val="24"/>
          <w:lang w:val="zh-TW"/>
        </w:rPr>
        <w:t>1.签约后三天内采购人向中标单位支付合同总价的30%作为定金。</w:t>
      </w:r>
    </w:p>
    <w:p>
      <w:pPr>
        <w:pStyle w:val="29"/>
        <w:spacing w:line="360" w:lineRule="auto"/>
        <w:rPr>
          <w:rFonts w:hint="eastAsia" w:ascii="楷体" w:hAnsi="楷体" w:eastAsia="楷体" w:cs="楷体"/>
          <w:sz w:val="24"/>
          <w:szCs w:val="24"/>
          <w:lang w:val="zh-TW"/>
        </w:rPr>
      </w:pPr>
      <w:r>
        <w:rPr>
          <w:rFonts w:hint="eastAsia" w:ascii="楷体" w:hAnsi="楷体" w:eastAsia="楷体" w:cs="楷体"/>
          <w:sz w:val="24"/>
          <w:szCs w:val="24"/>
          <w:lang w:val="zh-TW"/>
        </w:rPr>
        <w:t>2.工厂于发货前二十天通知采购人提货，在提货前支付合同总价的60%作提货款，款到发货。</w:t>
      </w:r>
    </w:p>
    <w:p>
      <w:pPr>
        <w:pStyle w:val="29"/>
        <w:spacing w:line="360" w:lineRule="auto"/>
        <w:rPr>
          <w:rFonts w:hint="eastAsia" w:ascii="楷体" w:hAnsi="楷体" w:eastAsia="楷体" w:cs="楷体"/>
          <w:sz w:val="24"/>
          <w:szCs w:val="24"/>
          <w:lang w:val="zh-TW"/>
        </w:rPr>
      </w:pPr>
      <w:r>
        <w:rPr>
          <w:rFonts w:hint="eastAsia" w:ascii="楷体" w:hAnsi="楷体" w:eastAsia="楷体" w:cs="楷体"/>
          <w:sz w:val="24"/>
          <w:szCs w:val="24"/>
          <w:lang w:val="zh-TW"/>
        </w:rPr>
        <w:t>3.</w:t>
      </w:r>
      <w:r>
        <w:rPr>
          <w:rFonts w:hint="eastAsia" w:ascii="楷体" w:hAnsi="楷体" w:eastAsia="楷体" w:cs="楷体"/>
          <w:sz w:val="24"/>
          <w:szCs w:val="24"/>
        </w:rPr>
        <w:t>全部货物到达指定交货地点，安装、调试并验收合格</w:t>
      </w:r>
      <w:r>
        <w:rPr>
          <w:rFonts w:hint="eastAsia" w:ascii="楷体" w:hAnsi="楷体" w:eastAsia="楷体" w:cs="楷体"/>
          <w:sz w:val="24"/>
          <w:szCs w:val="24"/>
          <w:lang w:val="zh-TW"/>
        </w:rPr>
        <w:t>之后10天内采购人支付中标单位余下款项。</w:t>
      </w:r>
    </w:p>
    <w:p>
      <w:pPr>
        <w:pStyle w:val="43"/>
        <w:spacing w:line="360" w:lineRule="auto"/>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4.中标单位在采购人办理付款手续之前5个工作日内，必须提供正式发票（</w:t>
      </w:r>
      <w:r>
        <w:rPr>
          <w:rFonts w:hint="eastAsia" w:ascii="楷体" w:hAnsi="楷体" w:eastAsia="楷体" w:cs="楷体"/>
          <w:bCs/>
          <w:sz w:val="24"/>
          <w:u w:val="single"/>
        </w:rPr>
        <w:t>其中设备价</w:t>
      </w:r>
      <w:r>
        <w:rPr>
          <w:rFonts w:hint="eastAsia" w:ascii="楷体" w:hAnsi="楷体" w:eastAsia="楷体" w:cs="楷体"/>
          <w:bCs/>
          <w:sz w:val="24"/>
          <w:u w:val="single"/>
          <w:lang w:eastAsia="zh-CN"/>
        </w:rPr>
        <w:t xml:space="preserve">          元</w:t>
      </w:r>
      <w:r>
        <w:rPr>
          <w:rFonts w:hint="eastAsia" w:ascii="楷体" w:hAnsi="楷体" w:eastAsia="楷体" w:cs="楷体"/>
          <w:bCs/>
          <w:sz w:val="24"/>
          <w:u w:val="single"/>
        </w:rPr>
        <w:t>开具13%专用增值税发票，另外安装费</w:t>
      </w:r>
      <w:r>
        <w:rPr>
          <w:rFonts w:hint="eastAsia" w:ascii="楷体" w:hAnsi="楷体" w:eastAsia="楷体" w:cs="楷体"/>
          <w:bCs/>
          <w:sz w:val="24"/>
          <w:u w:val="single"/>
          <w:lang w:eastAsia="zh-CN"/>
        </w:rPr>
        <w:t xml:space="preserve">           元</w:t>
      </w:r>
      <w:r>
        <w:rPr>
          <w:rFonts w:hint="eastAsia" w:ascii="楷体" w:hAnsi="楷体" w:eastAsia="楷体" w:cs="楷体"/>
          <w:bCs/>
          <w:sz w:val="24"/>
          <w:u w:val="single"/>
        </w:rPr>
        <w:t>开具3%工程安装发票结算）</w:t>
      </w:r>
      <w:r>
        <w:rPr>
          <w:rFonts w:hint="eastAsia" w:ascii="楷体" w:hAnsi="楷体" w:eastAsia="楷体" w:cs="楷体"/>
          <w:color w:val="auto"/>
          <w:sz w:val="24"/>
          <w:szCs w:val="24"/>
          <w:lang w:eastAsia="zh-CN"/>
        </w:rPr>
        <w:t>。</w:t>
      </w:r>
    </w:p>
    <w:p>
      <w:pPr>
        <w:pStyle w:val="43"/>
        <w:spacing w:line="360" w:lineRule="auto"/>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5.中标单位凭以下有效文件与采购人结算：</w:t>
      </w:r>
    </w:p>
    <w:p>
      <w:pPr>
        <w:pStyle w:val="43"/>
        <w:spacing w:line="360" w:lineRule="auto"/>
        <w:ind w:left="743" w:leftChars="354"/>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1.合同；</w:t>
      </w:r>
    </w:p>
    <w:p>
      <w:pPr>
        <w:pStyle w:val="43"/>
        <w:spacing w:line="360" w:lineRule="auto"/>
        <w:ind w:left="816"/>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2.中标单位开具的增值税发票；</w:t>
      </w:r>
    </w:p>
    <w:p>
      <w:pPr>
        <w:pStyle w:val="43"/>
        <w:spacing w:line="360" w:lineRule="auto"/>
        <w:ind w:left="816"/>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3.验收合格报告（加盖采购人公章）；</w:t>
      </w:r>
    </w:p>
    <w:p>
      <w:pPr>
        <w:pStyle w:val="43"/>
        <w:spacing w:line="360" w:lineRule="auto"/>
        <w:ind w:left="816"/>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4.中标通知书。</w:t>
      </w:r>
    </w:p>
    <w:p>
      <w:pPr>
        <w:pStyle w:val="43"/>
        <w:spacing w:line="360" w:lineRule="auto"/>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第十条 交货期及安装工期</w:t>
      </w:r>
    </w:p>
    <w:p>
      <w:pPr>
        <w:pStyle w:val="43"/>
        <w:spacing w:line="360" w:lineRule="auto"/>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1.交货期：签订合同中标单位收到采购人电梯排产款后30天交货（若果是非标准井道数据，需要重新出设计生产图纸除外）。</w:t>
      </w:r>
    </w:p>
    <w:p>
      <w:pPr>
        <w:pStyle w:val="43"/>
        <w:spacing w:line="360" w:lineRule="auto"/>
        <w:rPr>
          <w:rFonts w:hint="eastAsia" w:ascii="楷体" w:hAnsi="楷体" w:eastAsia="楷体" w:cs="楷体"/>
          <w:color w:val="auto"/>
          <w:sz w:val="24"/>
          <w:szCs w:val="24"/>
          <w:lang w:eastAsia="zh-CN"/>
        </w:rPr>
      </w:pPr>
      <w:r>
        <w:rPr>
          <w:rFonts w:hint="eastAsia" w:ascii="楷体" w:hAnsi="楷体" w:eastAsia="楷体" w:cs="楷体"/>
          <w:color w:val="auto"/>
          <w:sz w:val="24"/>
          <w:szCs w:val="24"/>
          <w:lang w:eastAsia="zh-CN"/>
        </w:rPr>
        <w:t xml:space="preserve">      2.自电梯设备货到工地后30日内完成安装、调试（不含政府部门验收发证时间）。</w:t>
      </w: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六、售后服务</w:t>
      </w:r>
    </w:p>
    <w:p>
      <w:pPr>
        <w:pStyle w:val="45"/>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第十一条质量保证期（简称</w:t>
      </w:r>
      <w:r>
        <w:rPr>
          <w:rFonts w:hint="eastAsia" w:ascii="楷体" w:hAnsi="楷体" w:eastAsia="楷体" w:cs="楷体"/>
          <w:color w:val="auto"/>
          <w:sz w:val="24"/>
          <w:szCs w:val="24"/>
        </w:rPr>
        <w:t>“</w:t>
      </w:r>
      <w:r>
        <w:rPr>
          <w:rFonts w:hint="eastAsia" w:ascii="楷体" w:hAnsi="楷体" w:eastAsia="楷体" w:cs="楷体"/>
          <w:color w:val="auto"/>
          <w:sz w:val="24"/>
          <w:szCs w:val="24"/>
          <w:lang w:val="zh-TW"/>
        </w:rPr>
        <w:t>质保期</w:t>
      </w:r>
      <w:r>
        <w:rPr>
          <w:rFonts w:hint="eastAsia" w:ascii="楷体" w:hAnsi="楷体" w:eastAsia="楷体" w:cs="楷体"/>
          <w:color w:val="auto"/>
          <w:sz w:val="24"/>
          <w:szCs w:val="24"/>
        </w:rPr>
        <w:t>”</w:t>
      </w:r>
      <w:r>
        <w:rPr>
          <w:rFonts w:hint="eastAsia" w:ascii="楷体" w:hAnsi="楷体" w:eastAsia="楷体" w:cs="楷体"/>
          <w:color w:val="auto"/>
          <w:sz w:val="24"/>
          <w:szCs w:val="24"/>
          <w:lang w:val="zh-TW"/>
        </w:rPr>
        <w:t>）为期壹年。质保期自甲方在货物质量验收单上签字之日起计算，质保费用计入总价。</w:t>
      </w:r>
    </w:p>
    <w:p>
      <w:pPr>
        <w:pStyle w:val="45"/>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第十二条质保期内，乙方负责对其提供的货物实行包修、包换、包退、包维护保养，不再收取任何费用，但不可抗力（如火灾、雷击等）造成的故障除外。</w:t>
      </w:r>
    </w:p>
    <w:p>
      <w:pPr>
        <w:pStyle w:val="45"/>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第十三条货物故障报修壹小时内响应。</w:t>
      </w:r>
    </w:p>
    <w:p>
      <w:pPr>
        <w:pStyle w:val="45"/>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十四条所有货物质保服务方式均为乙方上门服务，即由乙方派员到货物使用现场维修，由此产生的一切费用均由乙方承担。若乙方未按照合同约定提供相应质保服务，甲方有权聘请第三方进行处理，所发生的一切费用由乙方承担。第十四条质保期后的货物维护由双方协商再定。</w:t>
      </w:r>
    </w:p>
    <w:p>
      <w:pPr>
        <w:pStyle w:val="45"/>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第十五条在质保期内，乙方须对所提供的设备做定期检查和保养。</w:t>
      </w: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七、违约责任</w:t>
      </w:r>
    </w:p>
    <w:p>
      <w:pPr>
        <w:pStyle w:val="29"/>
        <w:spacing w:line="360" w:lineRule="auto"/>
        <w:jc w:val="left"/>
        <w:rPr>
          <w:rFonts w:hint="eastAsia" w:ascii="楷体" w:hAnsi="楷体" w:eastAsia="楷体" w:cs="楷体"/>
          <w:sz w:val="24"/>
          <w:szCs w:val="24"/>
        </w:rPr>
      </w:pPr>
      <w:r>
        <w:rPr>
          <w:rFonts w:hint="eastAsia" w:ascii="楷体" w:hAnsi="楷体" w:eastAsia="楷体" w:cs="楷体"/>
          <w:sz w:val="24"/>
          <w:szCs w:val="24"/>
          <w:lang w:val="zh-TW"/>
        </w:rPr>
        <w:t>第十六条甲方无正当理由拒收货物、拒付货款的，甲方须向乙方交纳合同总价</w:t>
      </w:r>
      <w:r>
        <w:rPr>
          <w:rFonts w:hint="eastAsia" w:ascii="楷体" w:hAnsi="楷体" w:eastAsia="楷体" w:cs="楷体"/>
          <w:sz w:val="24"/>
          <w:szCs w:val="24"/>
        </w:rPr>
        <w:t>5%</w:t>
      </w:r>
      <w:r>
        <w:rPr>
          <w:rFonts w:hint="eastAsia" w:ascii="楷体" w:hAnsi="楷体" w:eastAsia="楷体" w:cs="楷体"/>
          <w:sz w:val="24"/>
          <w:szCs w:val="24"/>
          <w:lang w:val="zh-TW"/>
        </w:rPr>
        <w:t>的违约金。</w:t>
      </w:r>
    </w:p>
    <w:p>
      <w:pPr>
        <w:pStyle w:val="29"/>
        <w:spacing w:line="360" w:lineRule="auto"/>
        <w:jc w:val="left"/>
        <w:rPr>
          <w:rFonts w:hint="eastAsia" w:ascii="楷体" w:hAnsi="楷体" w:eastAsia="楷体" w:cs="楷体"/>
          <w:sz w:val="24"/>
          <w:szCs w:val="24"/>
        </w:rPr>
      </w:pPr>
      <w:r>
        <w:rPr>
          <w:rFonts w:hint="eastAsia" w:ascii="楷体" w:hAnsi="楷体" w:eastAsia="楷体" w:cs="楷体"/>
          <w:sz w:val="24"/>
          <w:szCs w:val="24"/>
          <w:lang w:val="zh-TW"/>
        </w:rPr>
        <w:t>第十七条甲方逾期支付货款的，甲方须每日以欠款总额万分之五的标准向乙方交纳违约金，累计不超过欠款总额的</w:t>
      </w:r>
      <w:r>
        <w:rPr>
          <w:rFonts w:hint="eastAsia" w:ascii="楷体" w:hAnsi="楷体" w:eastAsia="楷体" w:cs="楷体"/>
          <w:sz w:val="24"/>
          <w:szCs w:val="24"/>
        </w:rPr>
        <w:t xml:space="preserve">5% </w:t>
      </w:r>
      <w:r>
        <w:rPr>
          <w:rFonts w:hint="eastAsia" w:ascii="楷体" w:hAnsi="楷体" w:eastAsia="楷体" w:cs="楷体"/>
          <w:sz w:val="24"/>
          <w:szCs w:val="24"/>
          <w:lang w:val="zh-TW"/>
        </w:rPr>
        <w:t>。</w:t>
      </w:r>
    </w:p>
    <w:p>
      <w:pPr>
        <w:pStyle w:val="29"/>
        <w:spacing w:line="360" w:lineRule="auto"/>
        <w:rPr>
          <w:rFonts w:hint="eastAsia" w:ascii="楷体" w:hAnsi="楷体" w:eastAsia="楷体" w:cs="楷体"/>
          <w:sz w:val="24"/>
          <w:szCs w:val="24"/>
        </w:rPr>
      </w:pPr>
      <w:r>
        <w:rPr>
          <w:rFonts w:hint="eastAsia" w:ascii="楷体" w:hAnsi="楷体" w:eastAsia="楷体" w:cs="楷体"/>
          <w:sz w:val="24"/>
          <w:szCs w:val="24"/>
          <w:lang w:val="zh-TW"/>
        </w:rPr>
        <w:t>第十八条乙方逾期</w:t>
      </w:r>
      <w:r>
        <w:rPr>
          <w:rFonts w:hint="eastAsia" w:ascii="楷体" w:hAnsi="楷体" w:eastAsia="楷体" w:cs="楷体"/>
          <w:sz w:val="24"/>
          <w:szCs w:val="24"/>
        </w:rPr>
        <w:t>15</w:t>
      </w:r>
      <w:r>
        <w:rPr>
          <w:rFonts w:hint="eastAsia" w:ascii="楷体" w:hAnsi="楷体" w:eastAsia="楷体" w:cs="楷体"/>
          <w:sz w:val="24"/>
          <w:szCs w:val="24"/>
          <w:lang w:val="zh-TW"/>
        </w:rPr>
        <w:t>天未交付货物，视为乙方不能交付货物。乙方不能交付货物，须向甲方交纳合同总价</w:t>
      </w:r>
      <w:r>
        <w:rPr>
          <w:rFonts w:hint="eastAsia" w:ascii="楷体" w:hAnsi="楷体" w:eastAsia="楷体" w:cs="楷体"/>
          <w:sz w:val="24"/>
          <w:szCs w:val="24"/>
        </w:rPr>
        <w:t>5%</w:t>
      </w:r>
      <w:r>
        <w:rPr>
          <w:rFonts w:hint="eastAsia" w:ascii="楷体" w:hAnsi="楷体" w:eastAsia="楷体" w:cs="楷体"/>
          <w:sz w:val="24"/>
          <w:szCs w:val="24"/>
          <w:lang w:val="zh-TW"/>
        </w:rPr>
        <w:t>的违约金。</w:t>
      </w:r>
    </w:p>
    <w:p>
      <w:pPr>
        <w:pStyle w:val="29"/>
        <w:spacing w:line="360" w:lineRule="auto"/>
        <w:rPr>
          <w:rFonts w:hint="eastAsia" w:ascii="楷体" w:hAnsi="楷体" w:eastAsia="楷体" w:cs="楷体"/>
          <w:sz w:val="24"/>
          <w:szCs w:val="24"/>
        </w:rPr>
      </w:pPr>
      <w:r>
        <w:rPr>
          <w:rFonts w:hint="eastAsia" w:ascii="楷体" w:hAnsi="楷体" w:eastAsia="楷体" w:cs="楷体"/>
          <w:sz w:val="24"/>
          <w:szCs w:val="24"/>
          <w:lang w:val="zh-TW"/>
        </w:rPr>
        <w:t>第十九条乙方逾期交付货物的，乙方须每日以逾期交货部分货款总额</w:t>
      </w:r>
      <w:r>
        <w:rPr>
          <w:rFonts w:hint="eastAsia" w:ascii="楷体" w:hAnsi="楷体" w:eastAsia="楷体" w:cs="楷体"/>
          <w:sz w:val="24"/>
          <w:szCs w:val="24"/>
        </w:rPr>
        <w:t>5‰</w:t>
      </w:r>
      <w:r>
        <w:rPr>
          <w:rFonts w:hint="eastAsia" w:ascii="楷体" w:hAnsi="楷体" w:eastAsia="楷体" w:cs="楷体"/>
          <w:sz w:val="24"/>
          <w:szCs w:val="24"/>
          <w:lang w:val="zh-TW"/>
        </w:rPr>
        <w:t>的标准向甲方交纳违约金，逾期交货超过</w:t>
      </w:r>
      <w:r>
        <w:rPr>
          <w:rFonts w:hint="eastAsia" w:ascii="楷体" w:hAnsi="楷体" w:eastAsia="楷体" w:cs="楷体"/>
          <w:sz w:val="24"/>
          <w:szCs w:val="24"/>
        </w:rPr>
        <w:t>15</w:t>
      </w:r>
      <w:r>
        <w:rPr>
          <w:rFonts w:hint="eastAsia" w:ascii="楷体" w:hAnsi="楷体" w:eastAsia="楷体" w:cs="楷体"/>
          <w:sz w:val="24"/>
          <w:szCs w:val="24"/>
          <w:lang w:val="zh-TW"/>
        </w:rPr>
        <w:t>天，甲方有权终止合同，要求乙方退还甲方已付款项，并支付合同总金额的</w:t>
      </w:r>
      <w:r>
        <w:rPr>
          <w:rFonts w:hint="eastAsia" w:ascii="楷体" w:hAnsi="楷体" w:eastAsia="楷体" w:cs="楷体"/>
          <w:sz w:val="24"/>
          <w:szCs w:val="24"/>
        </w:rPr>
        <w:t>5%</w:t>
      </w:r>
      <w:r>
        <w:rPr>
          <w:rFonts w:hint="eastAsia" w:ascii="楷体" w:hAnsi="楷体" w:eastAsia="楷体" w:cs="楷体"/>
          <w:sz w:val="24"/>
          <w:szCs w:val="24"/>
          <w:lang w:val="zh-TW"/>
        </w:rPr>
        <w:t>作为违约金。</w:t>
      </w:r>
    </w:p>
    <w:p>
      <w:pPr>
        <w:pStyle w:val="29"/>
        <w:spacing w:line="360" w:lineRule="auto"/>
        <w:rPr>
          <w:rFonts w:hint="eastAsia" w:ascii="楷体" w:hAnsi="楷体" w:eastAsia="楷体" w:cs="楷体"/>
          <w:sz w:val="24"/>
          <w:szCs w:val="24"/>
        </w:rPr>
      </w:pPr>
      <w:r>
        <w:rPr>
          <w:rFonts w:hint="eastAsia" w:ascii="楷体" w:hAnsi="楷体" w:eastAsia="楷体" w:cs="楷体"/>
          <w:sz w:val="24"/>
          <w:szCs w:val="24"/>
          <w:lang w:val="zh-TW"/>
        </w:rPr>
        <w:t>第二十条乙方所交付产品的型号、规格、数量和质量等不符合合同规定标准的，甲方有权拒收。乙方须向甲方交纳合同总价</w:t>
      </w:r>
      <w:r>
        <w:rPr>
          <w:rFonts w:hint="eastAsia" w:ascii="楷体" w:hAnsi="楷体" w:eastAsia="楷体" w:cs="楷体"/>
          <w:sz w:val="24"/>
          <w:szCs w:val="24"/>
        </w:rPr>
        <w:t>5%</w:t>
      </w:r>
      <w:r>
        <w:rPr>
          <w:rFonts w:hint="eastAsia" w:ascii="楷体" w:hAnsi="楷体" w:eastAsia="楷体" w:cs="楷体"/>
          <w:sz w:val="24"/>
          <w:szCs w:val="24"/>
          <w:lang w:val="zh-TW"/>
        </w:rPr>
        <w:t>的违约金。</w:t>
      </w:r>
    </w:p>
    <w:p>
      <w:pPr>
        <w:pStyle w:val="29"/>
        <w:spacing w:line="360" w:lineRule="auto"/>
        <w:rPr>
          <w:rFonts w:hint="eastAsia" w:ascii="楷体" w:hAnsi="楷体" w:eastAsia="楷体" w:cs="楷体"/>
          <w:sz w:val="24"/>
          <w:szCs w:val="24"/>
        </w:rPr>
      </w:pPr>
      <w:r>
        <w:rPr>
          <w:rFonts w:hint="eastAsia" w:ascii="楷体" w:hAnsi="楷体" w:eastAsia="楷体" w:cs="楷体"/>
          <w:sz w:val="24"/>
          <w:szCs w:val="24"/>
          <w:lang w:val="zh-TW"/>
        </w:rPr>
        <w:t>第二十一条乙方所供货物必须权属清楚，不得侵害他人的知识产权，否则构成对甲方违约，应向甲方支付合同总金额的</w:t>
      </w:r>
      <w:r>
        <w:rPr>
          <w:rFonts w:hint="eastAsia" w:ascii="楷体" w:hAnsi="楷体" w:eastAsia="楷体" w:cs="楷体"/>
          <w:sz w:val="24"/>
          <w:szCs w:val="24"/>
        </w:rPr>
        <w:t>5%</w:t>
      </w:r>
      <w:r>
        <w:rPr>
          <w:rFonts w:hint="eastAsia" w:ascii="楷体" w:hAnsi="楷体" w:eastAsia="楷体" w:cs="楷体"/>
          <w:sz w:val="24"/>
          <w:szCs w:val="24"/>
          <w:lang w:val="zh-TW"/>
        </w:rPr>
        <w:t>作为违约金。</w:t>
      </w:r>
    </w:p>
    <w:p>
      <w:pPr>
        <w:pStyle w:val="29"/>
        <w:spacing w:line="360" w:lineRule="auto"/>
        <w:rPr>
          <w:rFonts w:hint="eastAsia" w:ascii="楷体" w:hAnsi="楷体" w:eastAsia="楷体" w:cs="楷体"/>
          <w:sz w:val="24"/>
          <w:szCs w:val="24"/>
        </w:rPr>
      </w:pPr>
      <w:r>
        <w:rPr>
          <w:rFonts w:hint="eastAsia" w:ascii="楷体" w:hAnsi="楷体" w:eastAsia="楷体" w:cs="楷体"/>
          <w:sz w:val="24"/>
          <w:szCs w:val="24"/>
          <w:lang w:val="zh-TW"/>
        </w:rPr>
        <w:t>第二十二条 乙方未经甲方书面同意不得单方解除本合同，否则，应向甲方退还全部已付款项，并支付合同总金额的</w:t>
      </w:r>
      <w:r>
        <w:rPr>
          <w:rFonts w:hint="eastAsia" w:ascii="楷体" w:hAnsi="楷体" w:eastAsia="楷体" w:cs="楷体"/>
          <w:sz w:val="24"/>
          <w:szCs w:val="24"/>
        </w:rPr>
        <w:t>5%</w:t>
      </w:r>
      <w:r>
        <w:rPr>
          <w:rFonts w:hint="eastAsia" w:ascii="楷体" w:hAnsi="楷体" w:eastAsia="楷体" w:cs="楷体"/>
          <w:sz w:val="24"/>
          <w:szCs w:val="24"/>
          <w:lang w:val="zh-TW"/>
        </w:rPr>
        <w:t>作为违约金。</w:t>
      </w:r>
    </w:p>
    <w:p>
      <w:pPr>
        <w:pStyle w:val="29"/>
        <w:spacing w:line="360" w:lineRule="auto"/>
        <w:rPr>
          <w:rFonts w:hint="eastAsia" w:ascii="楷体" w:hAnsi="楷体" w:eastAsia="楷体" w:cs="楷体"/>
          <w:sz w:val="24"/>
          <w:szCs w:val="24"/>
        </w:rPr>
      </w:pPr>
      <w:r>
        <w:rPr>
          <w:rFonts w:hint="eastAsia" w:ascii="楷体" w:hAnsi="楷体" w:eastAsia="楷体" w:cs="楷体"/>
          <w:sz w:val="24"/>
          <w:szCs w:val="24"/>
          <w:lang w:val="zh-TW"/>
        </w:rPr>
        <w:t>第二十三条 因乙方交付的货物存在质量等问题导致甲方或第三人人身或财产损失的，由乙方负责承担一切经济赔偿和法律责任。</w:t>
      </w:r>
    </w:p>
    <w:p>
      <w:pPr>
        <w:pStyle w:val="29"/>
        <w:spacing w:line="360" w:lineRule="auto"/>
        <w:rPr>
          <w:rFonts w:hint="eastAsia" w:ascii="楷体" w:hAnsi="楷体" w:eastAsia="楷体" w:cs="楷体"/>
          <w:sz w:val="24"/>
          <w:szCs w:val="24"/>
        </w:rPr>
      </w:pPr>
      <w:r>
        <w:rPr>
          <w:rFonts w:hint="eastAsia" w:ascii="楷体" w:hAnsi="楷体" w:eastAsia="楷体" w:cs="楷体"/>
          <w:sz w:val="24"/>
          <w:szCs w:val="24"/>
          <w:lang w:val="zh-TW"/>
        </w:rPr>
        <w:t>第二十四条 因乙方原因导致甲方承担责任或造成甲方损失的，乙方应当予以赔偿（包括但不限于甲方损失、甲方支付的赔偿金及诉讼费、律师费、公证费等必要的维权费用）。</w:t>
      </w: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八、不可抗力</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第二十五条  由于不可预见、不可避免、不可克服等不可抗力的原因，一方不能履行合同义务的，应当在不可抗力发生之日起</w:t>
      </w:r>
      <w:r>
        <w:rPr>
          <w:rFonts w:hint="eastAsia" w:ascii="楷体" w:hAnsi="楷体" w:eastAsia="楷体" w:cs="楷体"/>
          <w:color w:val="auto"/>
          <w:sz w:val="24"/>
          <w:szCs w:val="24"/>
          <w:u w:val="single"/>
        </w:rPr>
        <w:t xml:space="preserve"> 15 </w:t>
      </w:r>
      <w:r>
        <w:rPr>
          <w:rFonts w:hint="eastAsia" w:ascii="楷体" w:hAnsi="楷体" w:eastAsia="楷体" w:cs="楷体"/>
          <w:color w:val="auto"/>
          <w:sz w:val="24"/>
          <w:szCs w:val="24"/>
          <w:lang w:val="zh-TW"/>
        </w:rPr>
        <w:t>天内以书面形式通知对方，证明不可抗力事件的存在。</w:t>
      </w:r>
    </w:p>
    <w:p>
      <w:pPr>
        <w:pStyle w:val="45"/>
        <w:tabs>
          <w:tab w:val="left" w:pos="840"/>
        </w:tabs>
        <w:spacing w:line="360" w:lineRule="auto"/>
        <w:ind w:left="1"/>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第二十六条  不可抗力事件发生后，甲方和乙方应当积极寻求以合理的方式履行本合同。如不可抗力无法消除，致使合同目的无法实现的，双方均有权解除合同，且均不互相索赔。</w:t>
      </w:r>
    </w:p>
    <w:p>
      <w:pPr>
        <w:pStyle w:val="45"/>
        <w:tabs>
          <w:tab w:val="left" w:pos="840"/>
        </w:tabs>
        <w:spacing w:line="360" w:lineRule="auto"/>
        <w:jc w:val="center"/>
        <w:rPr>
          <w:rFonts w:hint="eastAsia" w:ascii="楷体" w:hAnsi="楷体" w:eastAsia="楷体" w:cs="楷体"/>
          <w:color w:val="auto"/>
          <w:sz w:val="24"/>
          <w:szCs w:val="24"/>
        </w:rPr>
      </w:pPr>
      <w:r>
        <w:rPr>
          <w:rFonts w:hint="eastAsia" w:ascii="楷体" w:hAnsi="楷体" w:eastAsia="楷体" w:cs="楷体"/>
          <w:color w:val="auto"/>
          <w:sz w:val="24"/>
          <w:szCs w:val="24"/>
          <w:lang w:val="zh-TW"/>
        </w:rPr>
        <w:t>九、争议及解决办法</w:t>
      </w:r>
    </w:p>
    <w:p>
      <w:pPr>
        <w:pStyle w:val="45"/>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第二十七条  因货物的质量问题发生争议，由广州市质量技术监督局或其指定的质量鉴定单位进行质量鉴定。货物符合质量标准的，鉴定费由甲方承担；货物不符合质量标准的，鉴定费由乙方承担。</w:t>
      </w:r>
    </w:p>
    <w:p>
      <w:pPr>
        <w:pStyle w:val="45"/>
        <w:tabs>
          <w:tab w:val="left" w:pos="840"/>
        </w:tabs>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第二十八条  本合同发生争议，由双方协商或由政府采购监管部门调解解决，协商或调解不成时按以下第</w:t>
      </w:r>
      <w:r>
        <w:rPr>
          <w:rFonts w:hint="eastAsia" w:ascii="楷体" w:hAnsi="楷体" w:eastAsia="楷体" w:cs="楷体"/>
          <w:color w:val="auto"/>
          <w:sz w:val="24"/>
          <w:szCs w:val="24"/>
          <w:u w:val="single"/>
        </w:rPr>
        <w:t xml:space="preserve"> 2 </w:t>
      </w:r>
      <w:r>
        <w:rPr>
          <w:rFonts w:hint="eastAsia" w:ascii="楷体" w:hAnsi="楷体" w:eastAsia="楷体" w:cs="楷体"/>
          <w:color w:val="auto"/>
          <w:sz w:val="24"/>
          <w:szCs w:val="24"/>
          <w:lang w:val="zh-TW"/>
        </w:rPr>
        <w:t>种方式解决：</w:t>
      </w:r>
    </w:p>
    <w:p>
      <w:pPr>
        <w:pStyle w:val="45"/>
        <w:numPr>
          <w:ilvl w:val="2"/>
          <w:numId w:val="4"/>
        </w:numPr>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中国广州仲裁委员会仲裁；</w:t>
      </w:r>
    </w:p>
    <w:p>
      <w:pPr>
        <w:pStyle w:val="45"/>
        <w:numPr>
          <w:ilvl w:val="2"/>
          <w:numId w:val="4"/>
        </w:numPr>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向甲方所在地人民法院提起诉讼。</w:t>
      </w:r>
    </w:p>
    <w:p>
      <w:pPr>
        <w:pStyle w:val="45"/>
        <w:tabs>
          <w:tab w:val="left" w:pos="840"/>
        </w:tabs>
        <w:spacing w:line="360" w:lineRule="auto"/>
        <w:jc w:val="center"/>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十、其    他</w:t>
      </w:r>
    </w:p>
    <w:p>
      <w:pPr>
        <w:pStyle w:val="45"/>
        <w:spacing w:line="360" w:lineRule="auto"/>
        <w:jc w:val="left"/>
        <w:rPr>
          <w:rFonts w:hint="eastAsia" w:ascii="楷体" w:hAnsi="楷体" w:eastAsia="楷体" w:cs="楷体"/>
          <w:color w:val="auto"/>
          <w:sz w:val="24"/>
          <w:szCs w:val="24"/>
        </w:rPr>
      </w:pPr>
      <w:r>
        <w:rPr>
          <w:rFonts w:hint="eastAsia" w:ascii="楷体" w:hAnsi="楷体" w:eastAsia="楷体" w:cs="楷体"/>
          <w:color w:val="auto"/>
          <w:sz w:val="24"/>
          <w:szCs w:val="24"/>
          <w:lang w:val="zh-TW"/>
        </w:rPr>
        <w:t>第二十九条  本合同一式伍份，具有同等效力，甲、乙双方各执贰份，</w:t>
      </w:r>
      <w:r>
        <w:rPr>
          <w:rFonts w:hint="eastAsia" w:ascii="楷体" w:hAnsi="楷体" w:eastAsia="楷体" w:cs="楷体"/>
          <w:sz w:val="24"/>
        </w:rPr>
        <w:t>广东华建兴工程管理有限公司</w:t>
      </w:r>
      <w:r>
        <w:rPr>
          <w:rFonts w:hint="eastAsia" w:ascii="楷体" w:hAnsi="楷体" w:eastAsia="楷体" w:cs="楷体"/>
          <w:color w:val="auto"/>
          <w:sz w:val="24"/>
          <w:szCs w:val="24"/>
          <w:lang w:val="zh-TW"/>
        </w:rPr>
        <w:t>执壹份。合同自双方签字盖章之日起生效。</w:t>
      </w:r>
    </w:p>
    <w:p>
      <w:pPr>
        <w:pStyle w:val="45"/>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第三十条  本合同未尽事宜，由双方协商处理。</w:t>
      </w:r>
    </w:p>
    <w:p>
      <w:pPr>
        <w:pStyle w:val="45"/>
        <w:spacing w:line="360" w:lineRule="auto"/>
        <w:jc w:val="left"/>
        <w:rPr>
          <w:rFonts w:hint="eastAsia" w:ascii="楷体" w:hAnsi="楷体" w:eastAsia="楷体" w:cs="楷体"/>
          <w:color w:val="auto"/>
          <w:sz w:val="24"/>
          <w:szCs w:val="24"/>
          <w:lang w:val="zh-TW"/>
        </w:rPr>
      </w:pPr>
      <w:r>
        <w:rPr>
          <w:rFonts w:hint="eastAsia" w:ascii="楷体" w:hAnsi="楷体" w:eastAsia="楷体" w:cs="楷体"/>
          <w:color w:val="auto"/>
          <w:sz w:val="24"/>
          <w:szCs w:val="24"/>
          <w:lang w:val="zh-TW"/>
        </w:rPr>
        <w:t>第三十一条合同附件及合同补充约定</w:t>
      </w:r>
    </w:p>
    <w:p>
      <w:pPr>
        <w:pStyle w:val="45"/>
        <w:spacing w:line="360" w:lineRule="auto"/>
        <w:jc w:val="left"/>
        <w:rPr>
          <w:rFonts w:hint="eastAsia" w:ascii="楷体" w:hAnsi="楷体" w:eastAsia="楷体" w:cs="楷体"/>
          <w:color w:val="auto"/>
          <w:sz w:val="24"/>
          <w:szCs w:val="24"/>
          <w:lang w:val="zh-TW"/>
        </w:rPr>
      </w:pPr>
    </w:p>
    <w:p>
      <w:pPr>
        <w:pStyle w:val="45"/>
        <w:spacing w:line="360" w:lineRule="auto"/>
        <w:jc w:val="left"/>
        <w:rPr>
          <w:rFonts w:hint="eastAsia" w:ascii="楷体" w:hAnsi="楷体" w:eastAsia="楷体" w:cs="楷体"/>
          <w:color w:val="auto"/>
          <w:sz w:val="24"/>
          <w:szCs w:val="24"/>
          <w:lang w:val="zh-TW"/>
        </w:rPr>
      </w:pPr>
    </w:p>
    <w:tbl>
      <w:tblPr>
        <w:tblStyle w:val="41"/>
        <w:tblW w:w="972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3091"/>
        <w:gridCol w:w="1559"/>
        <w:gridCol w:w="3941"/>
        <w:gridCol w:w="113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PrEx>
        <w:trPr>
          <w:trHeight w:val="407" w:hRule="atLeast"/>
        </w:trPr>
        <w:tc>
          <w:tcPr>
            <w:tcW w:w="3091"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jc w:val="left"/>
              <w:rPr>
                <w:rFonts w:hint="eastAsia" w:ascii="楷体" w:hAnsi="楷体" w:eastAsia="楷体" w:cs="楷体"/>
                <w:b/>
                <w:color w:val="auto"/>
                <w:sz w:val="24"/>
                <w:szCs w:val="24"/>
              </w:rPr>
            </w:pPr>
            <w:r>
              <w:rPr>
                <w:rFonts w:hint="eastAsia" w:ascii="楷体" w:hAnsi="楷体" w:eastAsia="楷体" w:cs="楷体"/>
                <w:b/>
                <w:bCs/>
                <w:color w:val="auto"/>
                <w:sz w:val="24"/>
                <w:szCs w:val="24"/>
                <w:lang w:val="zh-TW"/>
              </w:rPr>
              <w:t>甲方：</w:t>
            </w:r>
          </w:p>
        </w:tc>
        <w:tc>
          <w:tcPr>
            <w:tcW w:w="1559"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ind w:left="-187" w:leftChars="-90" w:right="480" w:hanging="2"/>
              <w:rPr>
                <w:rFonts w:hint="eastAsia" w:ascii="楷体" w:hAnsi="楷体" w:eastAsia="楷体" w:cs="楷体"/>
                <w:b/>
                <w:color w:val="auto"/>
                <w:sz w:val="24"/>
                <w:szCs w:val="24"/>
                <w:lang w:eastAsia="zh-TW"/>
              </w:rPr>
            </w:pPr>
            <w:r>
              <w:rPr>
                <w:rFonts w:hint="eastAsia" w:ascii="楷体" w:hAnsi="楷体" w:eastAsia="楷体" w:cs="楷体"/>
                <w:b/>
                <w:color w:val="auto"/>
                <w:sz w:val="24"/>
                <w:szCs w:val="24"/>
                <w:lang w:val="zh-TW" w:eastAsia="zh-TW"/>
              </w:rPr>
              <w:t>（盖章）</w:t>
            </w:r>
          </w:p>
        </w:tc>
        <w:tc>
          <w:tcPr>
            <w:tcW w:w="3941"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jc w:val="left"/>
              <w:rPr>
                <w:rFonts w:hint="eastAsia" w:ascii="楷体" w:hAnsi="楷体" w:eastAsia="楷体" w:cs="楷体"/>
                <w:color w:val="auto"/>
                <w:sz w:val="24"/>
                <w:szCs w:val="24"/>
              </w:rPr>
            </w:pPr>
            <w:r>
              <w:rPr>
                <w:rFonts w:hint="eastAsia" w:ascii="楷体" w:hAnsi="楷体" w:eastAsia="楷体" w:cs="楷体"/>
                <w:b/>
                <w:bCs/>
                <w:color w:val="auto"/>
                <w:sz w:val="24"/>
                <w:szCs w:val="24"/>
                <w:lang w:val="zh-TW"/>
              </w:rPr>
              <w:t>乙方：</w:t>
            </w:r>
          </w:p>
        </w:tc>
        <w:tc>
          <w:tcPr>
            <w:tcW w:w="1134"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ind w:right="120"/>
              <w:jc w:val="right"/>
              <w:rPr>
                <w:rFonts w:hint="eastAsia" w:ascii="楷体" w:hAnsi="楷体" w:eastAsia="楷体" w:cs="楷体"/>
                <w:b/>
                <w:bCs/>
                <w:color w:val="auto"/>
                <w:sz w:val="24"/>
                <w:szCs w:val="24"/>
              </w:rPr>
            </w:pPr>
            <w:r>
              <w:rPr>
                <w:rFonts w:hint="eastAsia" w:ascii="楷体" w:hAnsi="楷体" w:eastAsia="楷体" w:cs="楷体"/>
                <w:b/>
                <w:bCs/>
                <w:color w:val="auto"/>
                <w:sz w:val="24"/>
                <w:szCs w:val="24"/>
                <w:lang w:val="zh-TW" w:eastAsia="zh-TW"/>
              </w:rPr>
              <w:t>（盖章）</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7" w:hRule="atLeast"/>
        </w:trPr>
        <w:tc>
          <w:tcPr>
            <w:tcW w:w="3091"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jc w:val="left"/>
              <w:rPr>
                <w:rFonts w:hint="eastAsia" w:ascii="楷体" w:hAnsi="楷体" w:eastAsia="楷体" w:cs="楷体"/>
                <w:color w:val="auto"/>
                <w:sz w:val="24"/>
                <w:szCs w:val="24"/>
              </w:rPr>
            </w:pPr>
            <w:r>
              <w:rPr>
                <w:rFonts w:hint="eastAsia" w:ascii="楷体" w:hAnsi="楷体" w:eastAsia="楷体" w:cs="楷体"/>
                <w:b/>
                <w:bCs/>
                <w:color w:val="auto"/>
                <w:sz w:val="24"/>
                <w:szCs w:val="24"/>
                <w:lang w:val="zh-TW" w:eastAsia="zh-TW"/>
              </w:rPr>
              <w:t>签约代表：</w:t>
            </w:r>
          </w:p>
        </w:tc>
        <w:tc>
          <w:tcPr>
            <w:tcW w:w="1559" w:type="dxa"/>
            <w:tcBorders>
              <w:top w:val="nil"/>
              <w:left w:val="nil"/>
              <w:bottom w:val="nil"/>
              <w:right w:val="nil"/>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c>
          <w:tcPr>
            <w:tcW w:w="3941"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jc w:val="left"/>
              <w:rPr>
                <w:rFonts w:hint="eastAsia" w:ascii="楷体" w:hAnsi="楷体" w:eastAsia="楷体" w:cs="楷体"/>
                <w:color w:val="auto"/>
                <w:sz w:val="24"/>
                <w:szCs w:val="24"/>
              </w:rPr>
            </w:pPr>
            <w:r>
              <w:rPr>
                <w:rFonts w:hint="eastAsia" w:ascii="楷体" w:hAnsi="楷体" w:eastAsia="楷体" w:cs="楷体"/>
                <w:b/>
                <w:bCs/>
                <w:color w:val="auto"/>
                <w:sz w:val="24"/>
                <w:szCs w:val="24"/>
                <w:lang w:val="zh-TW" w:eastAsia="zh-TW"/>
              </w:rPr>
              <w:t>签约代表：</w:t>
            </w:r>
          </w:p>
        </w:tc>
        <w:tc>
          <w:tcPr>
            <w:tcW w:w="1134" w:type="dxa"/>
            <w:tcBorders>
              <w:top w:val="nil"/>
              <w:left w:val="nil"/>
              <w:bottom w:val="nil"/>
              <w:right w:val="nil"/>
            </w:tcBorders>
            <w:shd w:val="clear" w:color="auto" w:fill="auto"/>
            <w:tcMar>
              <w:top w:w="80" w:type="dxa"/>
              <w:left w:w="80" w:type="dxa"/>
              <w:bottom w:w="80" w:type="dxa"/>
              <w:right w:w="80" w:type="dxa"/>
            </w:tcMar>
          </w:tcPr>
          <w:p>
            <w:pPr>
              <w:pBdr>
                <w:top w:val="none" w:color="auto" w:sz="0" w:space="0"/>
                <w:left w:val="none" w:color="auto" w:sz="0" w:space="0"/>
                <w:bottom w:val="none" w:color="auto" w:sz="0" w:space="0"/>
                <w:right w:val="none" w:color="auto" w:sz="0" w:space="0"/>
                <w:between w:val="none" w:color="auto" w:sz="0" w:space="0"/>
              </w:pBdr>
              <w:spacing w:line="360" w:lineRule="auto"/>
              <w:rPr>
                <w:rFonts w:hint="eastAsia" w:ascii="楷体" w:hAnsi="楷体" w:eastAsia="楷体" w:cs="楷体"/>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7" w:hRule="atLeast"/>
        </w:trPr>
        <w:tc>
          <w:tcPr>
            <w:tcW w:w="3091"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ind w:left="-250" w:leftChars="-119"/>
              <w:jc w:val="left"/>
              <w:rPr>
                <w:rFonts w:hint="eastAsia" w:ascii="楷体" w:hAnsi="楷体" w:eastAsia="楷体" w:cs="楷体"/>
                <w:color w:val="auto"/>
                <w:sz w:val="24"/>
                <w:szCs w:val="24"/>
              </w:rPr>
            </w:pPr>
            <w:r>
              <w:rPr>
                <w:rFonts w:hint="eastAsia" w:ascii="楷体" w:hAnsi="楷体" w:eastAsia="楷体" w:cs="楷体"/>
                <w:b/>
                <w:bCs/>
                <w:color w:val="auto"/>
                <w:sz w:val="24"/>
                <w:szCs w:val="24"/>
                <w:lang w:val="zh-TW" w:eastAsia="zh-TW"/>
              </w:rPr>
              <w:t>签约日期：</w:t>
            </w:r>
            <w:r>
              <w:rPr>
                <w:rFonts w:hint="eastAsia" w:ascii="楷体" w:hAnsi="楷体" w:eastAsia="楷体" w:cs="楷体"/>
                <w:b/>
                <w:bCs/>
                <w:color w:val="auto"/>
                <w:sz w:val="24"/>
                <w:szCs w:val="24"/>
                <w:lang w:val="zh-TW"/>
              </w:rPr>
              <w:t xml:space="preserve">     </w:t>
            </w:r>
            <w:r>
              <w:rPr>
                <w:rFonts w:hint="eastAsia" w:ascii="楷体" w:hAnsi="楷体" w:eastAsia="楷体" w:cs="楷体"/>
                <w:color w:val="auto"/>
                <w:sz w:val="24"/>
                <w:szCs w:val="24"/>
                <w:lang w:val="zh-TW" w:eastAsia="zh-TW"/>
              </w:rPr>
              <w:t>年</w:t>
            </w:r>
            <w:r>
              <w:rPr>
                <w:rFonts w:hint="eastAsia" w:ascii="楷体" w:hAnsi="楷体" w:eastAsia="楷体" w:cs="楷体"/>
                <w:color w:val="auto"/>
                <w:sz w:val="24"/>
                <w:szCs w:val="24"/>
                <w:lang w:val="zh-TW"/>
              </w:rPr>
              <w:t xml:space="preserve">  </w:t>
            </w:r>
            <w:r>
              <w:rPr>
                <w:rFonts w:hint="eastAsia" w:ascii="楷体" w:hAnsi="楷体" w:eastAsia="楷体" w:cs="楷体"/>
                <w:color w:val="auto"/>
                <w:sz w:val="24"/>
                <w:szCs w:val="24"/>
                <w:lang w:val="zh-TW" w:eastAsia="zh-TW"/>
              </w:rPr>
              <w:t xml:space="preserve"> 月</w:t>
            </w:r>
            <w:r>
              <w:rPr>
                <w:rFonts w:hint="eastAsia" w:ascii="楷体" w:hAnsi="楷体" w:eastAsia="楷体" w:cs="楷体"/>
                <w:color w:val="auto"/>
                <w:sz w:val="24"/>
                <w:szCs w:val="24"/>
                <w:lang w:val="zh-TW"/>
              </w:rPr>
              <w:t xml:space="preserve">  </w:t>
            </w:r>
            <w:r>
              <w:rPr>
                <w:rFonts w:hint="eastAsia" w:ascii="楷体" w:hAnsi="楷体" w:eastAsia="楷体" w:cs="楷体"/>
                <w:color w:val="auto"/>
                <w:sz w:val="24"/>
                <w:szCs w:val="24"/>
                <w:lang w:val="zh-TW" w:eastAsia="zh-TW"/>
              </w:rPr>
              <w:t xml:space="preserve"> 日</w:t>
            </w:r>
          </w:p>
        </w:tc>
        <w:tc>
          <w:tcPr>
            <w:tcW w:w="1559"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ind w:firstLine="210"/>
              <w:jc w:val="left"/>
              <w:rPr>
                <w:rFonts w:hint="eastAsia" w:ascii="楷体" w:hAnsi="楷体" w:eastAsia="楷体" w:cs="楷体"/>
                <w:color w:val="auto"/>
                <w:sz w:val="24"/>
                <w:szCs w:val="24"/>
              </w:rPr>
            </w:pPr>
          </w:p>
        </w:tc>
        <w:tc>
          <w:tcPr>
            <w:tcW w:w="3941"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jc w:val="left"/>
              <w:rPr>
                <w:rFonts w:hint="eastAsia" w:ascii="楷体" w:hAnsi="楷体" w:eastAsia="楷体" w:cs="楷体"/>
                <w:color w:val="auto"/>
                <w:sz w:val="24"/>
                <w:szCs w:val="24"/>
              </w:rPr>
            </w:pPr>
            <w:r>
              <w:rPr>
                <w:rFonts w:hint="eastAsia" w:ascii="楷体" w:hAnsi="楷体" w:eastAsia="楷体" w:cs="楷体"/>
                <w:b/>
                <w:bCs/>
                <w:color w:val="auto"/>
                <w:sz w:val="24"/>
                <w:szCs w:val="24"/>
                <w:lang w:val="zh-TW" w:eastAsia="zh-TW"/>
              </w:rPr>
              <w:t>签约日期：</w:t>
            </w:r>
            <w:r>
              <w:rPr>
                <w:rFonts w:hint="eastAsia" w:ascii="楷体" w:hAnsi="楷体" w:eastAsia="楷体" w:cs="楷体"/>
                <w:b/>
                <w:bCs/>
                <w:color w:val="auto"/>
                <w:sz w:val="24"/>
                <w:szCs w:val="24"/>
                <w:lang w:val="zh-TW"/>
              </w:rPr>
              <w:t xml:space="preserve">     </w:t>
            </w:r>
            <w:r>
              <w:rPr>
                <w:rFonts w:hint="eastAsia" w:ascii="楷体" w:hAnsi="楷体" w:eastAsia="楷体" w:cs="楷体"/>
                <w:color w:val="auto"/>
                <w:sz w:val="24"/>
                <w:szCs w:val="24"/>
                <w:lang w:val="zh-TW" w:eastAsia="zh-TW"/>
              </w:rPr>
              <w:t xml:space="preserve">年 </w:t>
            </w:r>
            <w:r>
              <w:rPr>
                <w:rFonts w:hint="eastAsia" w:ascii="楷体" w:hAnsi="楷体" w:eastAsia="楷体" w:cs="楷体"/>
                <w:color w:val="auto"/>
                <w:sz w:val="24"/>
                <w:szCs w:val="24"/>
                <w:lang w:val="zh-TW"/>
              </w:rPr>
              <w:t xml:space="preserve">  </w:t>
            </w:r>
            <w:r>
              <w:rPr>
                <w:rFonts w:hint="eastAsia" w:ascii="楷体" w:hAnsi="楷体" w:eastAsia="楷体" w:cs="楷体"/>
                <w:color w:val="auto"/>
                <w:sz w:val="24"/>
                <w:szCs w:val="24"/>
                <w:lang w:val="zh-TW" w:eastAsia="zh-TW"/>
              </w:rPr>
              <w:t xml:space="preserve">月 </w:t>
            </w:r>
            <w:r>
              <w:rPr>
                <w:rFonts w:hint="eastAsia" w:ascii="楷体" w:hAnsi="楷体" w:eastAsia="楷体" w:cs="楷体"/>
                <w:color w:val="auto"/>
                <w:sz w:val="24"/>
                <w:szCs w:val="24"/>
                <w:lang w:val="zh-TW"/>
              </w:rPr>
              <w:t xml:space="preserve">  </w:t>
            </w:r>
            <w:r>
              <w:rPr>
                <w:rFonts w:hint="eastAsia" w:ascii="楷体" w:hAnsi="楷体" w:eastAsia="楷体" w:cs="楷体"/>
                <w:color w:val="auto"/>
                <w:sz w:val="24"/>
                <w:szCs w:val="24"/>
                <w:lang w:val="zh-TW" w:eastAsia="zh-TW"/>
              </w:rPr>
              <w:t>日</w:t>
            </w:r>
          </w:p>
        </w:tc>
        <w:tc>
          <w:tcPr>
            <w:tcW w:w="1134" w:type="dxa"/>
            <w:tcBorders>
              <w:top w:val="nil"/>
              <w:left w:val="nil"/>
              <w:bottom w:val="nil"/>
              <w:right w:val="nil"/>
            </w:tcBorders>
            <w:shd w:val="clear" w:color="auto" w:fill="auto"/>
            <w:tcMar>
              <w:top w:w="80" w:type="dxa"/>
              <w:left w:w="80" w:type="dxa"/>
              <w:bottom w:w="80" w:type="dxa"/>
              <w:right w:w="80" w:type="dxa"/>
            </w:tcMar>
          </w:tcPr>
          <w:p>
            <w:pPr>
              <w:pStyle w:val="45"/>
              <w:widowControl/>
              <w:spacing w:line="360" w:lineRule="auto"/>
              <w:ind w:firstLine="210"/>
              <w:jc w:val="left"/>
              <w:rPr>
                <w:rFonts w:hint="eastAsia" w:ascii="楷体" w:hAnsi="楷体" w:eastAsia="楷体" w:cs="楷体"/>
                <w:color w:val="auto"/>
                <w:sz w:val="24"/>
                <w:szCs w:val="24"/>
              </w:rPr>
            </w:pPr>
          </w:p>
        </w:tc>
      </w:tr>
    </w:tbl>
    <w:p>
      <w:pPr>
        <w:pStyle w:val="45"/>
        <w:spacing w:line="360" w:lineRule="exact"/>
        <w:ind w:firstLine="420"/>
        <w:jc w:val="left"/>
        <w:rPr>
          <w:rFonts w:hint="eastAsia" w:ascii="楷体" w:hAnsi="楷体" w:eastAsia="楷体" w:cs="楷体"/>
          <w:color w:val="auto"/>
          <w:sz w:val="24"/>
          <w:szCs w:val="24"/>
          <w:lang w:val="zh-TW" w:eastAsia="zh-TW"/>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p>
    <w:p>
      <w:pPr>
        <w:spacing w:line="360" w:lineRule="exact"/>
        <w:rPr>
          <w:rFonts w:hint="eastAsia" w:ascii="楷体" w:hAnsi="楷体" w:eastAsia="楷体" w:cs="楷体"/>
        </w:rPr>
      </w:pPr>
      <w:r>
        <w:rPr>
          <w:rFonts w:hint="eastAsia" w:ascii="楷体" w:hAnsi="楷体" w:eastAsia="楷体" w:cs="楷体"/>
        </w:rPr>
        <w:t>合同附件：</w:t>
      </w:r>
    </w:p>
    <w:p>
      <w:pPr>
        <w:numPr>
          <w:ilvl w:val="0"/>
          <w:numId w:val="2"/>
        </w:numPr>
        <w:tabs>
          <w:tab w:val="left" w:pos="0"/>
        </w:tabs>
        <w:snapToGrid w:val="0"/>
        <w:spacing w:line="380" w:lineRule="exact"/>
        <w:rPr>
          <w:rFonts w:hint="eastAsia" w:ascii="楷体" w:hAnsi="楷体" w:eastAsia="楷体" w:cs="楷体"/>
          <w:b/>
          <w:bCs/>
        </w:rPr>
      </w:pPr>
      <w:r>
        <w:rPr>
          <w:rFonts w:hint="eastAsia" w:ascii="楷体" w:hAnsi="楷体" w:eastAsia="楷体" w:cs="楷体"/>
          <w:b/>
          <w:bCs/>
        </w:rPr>
        <w:t>2000kg有机房货梯电梯技术规格表（一般规格）</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800"/>
        <w:gridCol w:w="5457"/>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序号</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规格参数</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P1～P2</w:t>
            </w:r>
          </w:p>
        </w:tc>
        <w:tc>
          <w:tcPr>
            <w:tcW w:w="1553"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电梯型号</w:t>
            </w:r>
          </w:p>
        </w:tc>
        <w:tc>
          <w:tcPr>
            <w:tcW w:w="5457" w:type="dxa"/>
            <w:vAlign w:val="center"/>
          </w:tcPr>
          <w:p>
            <w:pPr>
              <w:tabs>
                <w:tab w:val="right" w:pos="3240"/>
              </w:tabs>
              <w:snapToGrid w:val="0"/>
              <w:spacing w:line="300" w:lineRule="exact"/>
              <w:rPr>
                <w:rFonts w:hint="eastAsia" w:ascii="楷体" w:hAnsi="楷体" w:eastAsia="楷体" w:cs="楷体"/>
                <w:bCs/>
              </w:rPr>
            </w:pPr>
            <w:r>
              <w:rPr>
                <w:rFonts w:hint="eastAsia" w:ascii="楷体" w:hAnsi="楷体" w:eastAsia="楷体" w:cs="楷体"/>
                <w:bCs/>
              </w:rPr>
              <w:t xml:space="preserve">THJ </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2</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额定速度  </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0.5m/s</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3</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额定载重量</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2000Kg</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4</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拖动系统  </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变频调速</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5</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服务楼层/停站</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4层4站5门（首层对通门）</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6</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停层及服务楼层</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1F-4F</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7</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主    层  </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1F</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8</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楼层高度</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1F:4200mm、2F～3F：3800mm、4F：4600mm</w:t>
            </w:r>
          </w:p>
        </w:tc>
        <w:tc>
          <w:tcPr>
            <w:tcW w:w="1553" w:type="dxa"/>
            <w:vAlign w:val="center"/>
          </w:tcPr>
          <w:p>
            <w:pPr>
              <w:snapToGrid w:val="0"/>
              <w:spacing w:line="300" w:lineRule="exact"/>
              <w:rPr>
                <w:rFonts w:hint="eastAsia" w:ascii="楷体" w:hAnsi="楷体" w:eastAsia="楷体" w:cs="楷体"/>
                <w:bCs/>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9</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轿厢内尺寸 </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（宽×深×高）</w:t>
            </w:r>
            <w:r>
              <w:rPr>
                <w:rFonts w:hint="eastAsia" w:ascii="楷体" w:hAnsi="楷体" w:eastAsia="楷体" w:cs="楷体"/>
                <w:bCs/>
                <w:u w:val="single"/>
              </w:rPr>
              <w:t xml:space="preserve"> 1800 </w:t>
            </w:r>
            <w:r>
              <w:rPr>
                <w:rFonts w:hint="eastAsia" w:ascii="楷体" w:hAnsi="楷体" w:eastAsia="楷体" w:cs="楷体"/>
                <w:bCs/>
              </w:rPr>
              <w:t>mm×</w:t>
            </w:r>
            <w:r>
              <w:rPr>
                <w:rFonts w:hint="eastAsia" w:ascii="楷体" w:hAnsi="楷体" w:eastAsia="楷体" w:cs="楷体"/>
                <w:bCs/>
                <w:u w:val="single"/>
              </w:rPr>
              <w:t xml:space="preserve"> 2300  </w:t>
            </w:r>
            <w:r>
              <w:rPr>
                <w:rFonts w:hint="eastAsia" w:ascii="楷体" w:hAnsi="楷体" w:eastAsia="楷体" w:cs="楷体"/>
                <w:bCs/>
              </w:rPr>
              <w:t>mm×</w:t>
            </w:r>
            <w:r>
              <w:rPr>
                <w:rFonts w:hint="eastAsia" w:ascii="楷体" w:hAnsi="楷体" w:eastAsia="楷体" w:cs="楷体"/>
                <w:bCs/>
                <w:u w:val="single"/>
              </w:rPr>
              <w:t>2500</w:t>
            </w:r>
            <w:r>
              <w:rPr>
                <w:rFonts w:hint="eastAsia" w:ascii="楷体" w:hAnsi="楷体" w:eastAsia="楷体" w:cs="楷体"/>
                <w:bCs/>
              </w:rPr>
              <w:t>mm</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10</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开门方式</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中分四扇门</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11</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开门净尺寸</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（宽×高）</w:t>
            </w:r>
            <w:r>
              <w:rPr>
                <w:rFonts w:hint="eastAsia" w:ascii="楷体" w:hAnsi="楷体" w:eastAsia="楷体" w:cs="楷体"/>
                <w:bCs/>
                <w:u w:val="single"/>
              </w:rPr>
              <w:t>1800</w:t>
            </w:r>
            <w:r>
              <w:rPr>
                <w:rFonts w:hint="eastAsia" w:ascii="楷体" w:hAnsi="楷体" w:eastAsia="楷体" w:cs="楷体"/>
                <w:bCs/>
              </w:rPr>
              <w:t>mm×</w:t>
            </w:r>
            <w:r>
              <w:rPr>
                <w:rFonts w:hint="eastAsia" w:ascii="楷体" w:hAnsi="楷体" w:eastAsia="楷体" w:cs="楷体"/>
                <w:bCs/>
                <w:u w:val="single"/>
              </w:rPr>
              <w:t>2400</w:t>
            </w:r>
            <w:r>
              <w:rPr>
                <w:rFonts w:hint="eastAsia" w:ascii="楷体" w:hAnsi="楷体" w:eastAsia="楷体" w:cs="楷体"/>
                <w:bCs/>
              </w:rPr>
              <w:t>mm</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12</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井道尺寸  </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（宽×深）</w:t>
            </w:r>
            <w:r>
              <w:rPr>
                <w:rFonts w:hint="eastAsia" w:ascii="楷体" w:hAnsi="楷体" w:eastAsia="楷体" w:cs="楷体"/>
                <w:bCs/>
                <w:u w:val="single"/>
              </w:rPr>
              <w:t xml:space="preserve"> 3200 </w:t>
            </w:r>
            <w:r>
              <w:rPr>
                <w:rFonts w:hint="eastAsia" w:ascii="楷体" w:hAnsi="楷体" w:eastAsia="楷体" w:cs="楷体"/>
                <w:bCs/>
              </w:rPr>
              <w:t>mm×</w:t>
            </w:r>
            <w:r>
              <w:rPr>
                <w:rFonts w:hint="eastAsia" w:ascii="楷体" w:hAnsi="楷体" w:eastAsia="楷体" w:cs="楷体"/>
                <w:bCs/>
                <w:u w:val="single"/>
              </w:rPr>
              <w:t xml:space="preserve"> 2900  </w:t>
            </w:r>
            <w:r>
              <w:rPr>
                <w:rFonts w:hint="eastAsia" w:ascii="楷体" w:hAnsi="楷体" w:eastAsia="楷体" w:cs="楷体"/>
                <w:bCs/>
              </w:rPr>
              <w:t>mm</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13</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顶层高度  </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4620mm </w:t>
            </w:r>
            <w:r>
              <w:rPr>
                <w:rFonts w:hint="eastAsia" w:ascii="楷体" w:hAnsi="楷体" w:eastAsia="楷体" w:cs="楷体"/>
                <w:bCs/>
                <w:color w:val="FF0000"/>
              </w:rPr>
              <w:t xml:space="preserve">  </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14</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底坑深    </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 xml:space="preserve">1420mm </w:t>
            </w:r>
            <w:r>
              <w:rPr>
                <w:rFonts w:hint="eastAsia" w:ascii="楷体" w:hAnsi="楷体" w:eastAsia="楷体" w:cs="楷体"/>
                <w:bCs/>
                <w:color w:val="FF0000"/>
              </w:rPr>
              <w:t xml:space="preserve"> </w:t>
            </w:r>
          </w:p>
        </w:tc>
        <w:tc>
          <w:tcPr>
            <w:tcW w:w="1553" w:type="dxa"/>
            <w:vAlign w:val="center"/>
          </w:tcPr>
          <w:p>
            <w:pPr>
              <w:snapToGrid w:val="0"/>
              <w:spacing w:line="300" w:lineRule="exact"/>
              <w:rPr>
                <w:rFonts w:hint="eastAsia" w:ascii="楷体" w:hAnsi="楷体" w:eastAsia="楷体" w:cs="楷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48" w:type="dxa"/>
            <w:vAlign w:val="center"/>
          </w:tcPr>
          <w:p>
            <w:pPr>
              <w:snapToGrid w:val="0"/>
              <w:spacing w:line="300" w:lineRule="exact"/>
              <w:jc w:val="center"/>
              <w:rPr>
                <w:rFonts w:hint="eastAsia" w:ascii="楷体" w:hAnsi="楷体" w:eastAsia="楷体" w:cs="楷体"/>
                <w:bCs/>
              </w:rPr>
            </w:pPr>
            <w:r>
              <w:rPr>
                <w:rFonts w:hint="eastAsia" w:ascii="楷体" w:hAnsi="楷体" w:eastAsia="楷体" w:cs="楷体"/>
                <w:bCs/>
              </w:rPr>
              <w:t>15</w:t>
            </w:r>
          </w:p>
        </w:tc>
        <w:tc>
          <w:tcPr>
            <w:tcW w:w="1800"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井道结构</w:t>
            </w:r>
          </w:p>
        </w:tc>
        <w:tc>
          <w:tcPr>
            <w:tcW w:w="5457" w:type="dxa"/>
            <w:vAlign w:val="center"/>
          </w:tcPr>
          <w:p>
            <w:pPr>
              <w:snapToGrid w:val="0"/>
              <w:spacing w:line="300" w:lineRule="exact"/>
              <w:rPr>
                <w:rFonts w:hint="eastAsia" w:ascii="楷体" w:hAnsi="楷体" w:eastAsia="楷体" w:cs="楷体"/>
                <w:bCs/>
              </w:rPr>
            </w:pPr>
            <w:r>
              <w:rPr>
                <w:rFonts w:hint="eastAsia" w:ascii="楷体" w:hAnsi="楷体" w:eastAsia="楷体" w:cs="楷体"/>
                <w:bCs/>
              </w:rPr>
              <w:t>混凝土</w:t>
            </w:r>
            <w:r>
              <w:rPr>
                <w:rFonts w:hint="eastAsia" w:ascii="楷体" w:hAnsi="楷体" w:eastAsia="楷体" w:cs="楷体"/>
              </w:rPr>
              <w:t xml:space="preserve">□ </w:t>
            </w:r>
            <w:r>
              <w:rPr>
                <w:rFonts w:hint="eastAsia" w:ascii="楷体" w:hAnsi="楷体" w:eastAsia="楷体" w:cs="楷体"/>
                <w:bCs/>
              </w:rPr>
              <w:t>;框架砖墙</w:t>
            </w:r>
            <w:r>
              <w:rPr>
                <w:rFonts w:hint="eastAsia" w:ascii="楷体" w:hAnsi="楷体" w:eastAsia="楷体" w:cs="楷体"/>
              </w:rPr>
              <w:t>□ ; 墙厚</w:t>
            </w:r>
            <w:r>
              <w:rPr>
                <w:rFonts w:hint="eastAsia" w:ascii="楷体" w:hAnsi="楷体" w:eastAsia="楷体" w:cs="楷体"/>
                <w:u w:val="single"/>
              </w:rPr>
              <w:t xml:space="preserve">      </w:t>
            </w:r>
            <w:r>
              <w:rPr>
                <w:rFonts w:hint="eastAsia" w:ascii="楷体" w:hAnsi="楷体" w:eastAsia="楷体" w:cs="楷体"/>
              </w:rPr>
              <w:t xml:space="preserve">mm ;砖质： </w:t>
            </w:r>
            <w:r>
              <w:rPr>
                <w:rFonts w:hint="eastAsia" w:ascii="楷体" w:hAnsi="楷体" w:eastAsia="楷体" w:cs="楷体"/>
                <w:u w:val="single"/>
              </w:rPr>
              <w:t xml:space="preserve">          </w:t>
            </w:r>
            <w:r>
              <w:rPr>
                <w:rFonts w:hint="eastAsia" w:ascii="楷体" w:hAnsi="楷体" w:eastAsia="楷体" w:cs="楷体"/>
              </w:rPr>
              <w:t xml:space="preserve">  </w:t>
            </w:r>
          </w:p>
        </w:tc>
        <w:tc>
          <w:tcPr>
            <w:tcW w:w="1553" w:type="dxa"/>
            <w:vAlign w:val="center"/>
          </w:tcPr>
          <w:p>
            <w:pPr>
              <w:snapToGrid w:val="0"/>
              <w:spacing w:line="300" w:lineRule="exact"/>
              <w:rPr>
                <w:rFonts w:hint="eastAsia" w:ascii="楷体" w:hAnsi="楷体" w:eastAsia="楷体" w:cs="楷体"/>
                <w:bCs/>
              </w:rPr>
            </w:pPr>
          </w:p>
        </w:tc>
      </w:tr>
    </w:tbl>
    <w:p>
      <w:pPr>
        <w:autoSpaceDE w:val="0"/>
        <w:autoSpaceDN w:val="0"/>
        <w:adjustRightInd w:val="0"/>
        <w:spacing w:line="360" w:lineRule="exact"/>
        <w:rPr>
          <w:rFonts w:hint="eastAsia" w:ascii="楷体" w:hAnsi="楷体" w:eastAsia="楷体" w:cs="楷体"/>
        </w:rPr>
      </w:pPr>
    </w:p>
    <w:p>
      <w:pPr>
        <w:snapToGrid w:val="0"/>
        <w:spacing w:line="540" w:lineRule="exact"/>
        <w:rPr>
          <w:rFonts w:hint="eastAsia" w:ascii="楷体" w:hAnsi="楷体" w:eastAsia="楷体" w:cs="楷体"/>
          <w:b/>
          <w:bCs/>
        </w:rPr>
      </w:pPr>
      <w:r>
        <w:rPr>
          <w:rFonts w:hint="eastAsia" w:ascii="楷体" w:hAnsi="楷体" w:eastAsia="楷体" w:cs="楷体"/>
          <w:b/>
          <w:bCs/>
        </w:rPr>
        <w:t>二、2000kg有机房货梯主要配置说明</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441"/>
        <w:gridCol w:w="6384"/>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序号</w:t>
            </w:r>
          </w:p>
        </w:tc>
        <w:tc>
          <w:tcPr>
            <w:tcW w:w="1441" w:type="dxa"/>
            <w:vAlign w:val="center"/>
          </w:tcPr>
          <w:p>
            <w:pPr>
              <w:snapToGrid w:val="0"/>
              <w:spacing w:line="400" w:lineRule="exact"/>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p>
        </w:tc>
        <w:tc>
          <w:tcPr>
            <w:tcW w:w="1176" w:type="dxa"/>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pPr>
              <w:snapToGrid w:val="0"/>
              <w:spacing w:line="460" w:lineRule="exact"/>
              <w:jc w:val="center"/>
              <w:rPr>
                <w:rFonts w:hint="eastAsia" w:ascii="楷体" w:hAnsi="楷体" w:eastAsia="楷体" w:cs="楷体"/>
                <w:bCs/>
              </w:rPr>
            </w:pPr>
            <w:r>
              <w:rPr>
                <w:rFonts w:hint="eastAsia" w:ascii="楷体" w:hAnsi="楷体" w:eastAsia="楷体" w:cs="楷体"/>
                <w:bCs/>
              </w:rPr>
              <w:t>1</w:t>
            </w:r>
          </w:p>
        </w:tc>
        <w:tc>
          <w:tcPr>
            <w:tcW w:w="1441" w:type="dxa"/>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电源</w:t>
            </w:r>
          </w:p>
        </w:tc>
        <w:tc>
          <w:tcPr>
            <w:tcW w:w="6384" w:type="dxa"/>
            <w:vAlign w:val="center"/>
          </w:tcPr>
          <w:p>
            <w:pPr>
              <w:snapToGrid w:val="0"/>
              <w:spacing w:line="340" w:lineRule="exact"/>
              <w:rPr>
                <w:rFonts w:hint="eastAsia" w:ascii="楷体" w:hAnsi="楷体" w:eastAsia="楷体" w:cs="楷体"/>
                <w:bCs/>
              </w:rPr>
            </w:pPr>
            <w:r>
              <w:rPr>
                <w:rFonts w:hint="eastAsia" w:ascii="楷体" w:hAnsi="楷体" w:eastAsia="楷体" w:cs="楷体"/>
                <w:bCs/>
              </w:rPr>
              <w:t>（1）动力：交流三相380V，50HZ，三相五线制（含地线）</w:t>
            </w:r>
          </w:p>
          <w:p>
            <w:pPr>
              <w:snapToGrid w:val="0"/>
              <w:spacing w:line="340" w:lineRule="exact"/>
              <w:rPr>
                <w:rFonts w:hint="eastAsia" w:ascii="楷体" w:hAnsi="楷体" w:eastAsia="楷体" w:cs="楷体"/>
                <w:bCs/>
              </w:rPr>
            </w:pPr>
            <w:r>
              <w:rPr>
                <w:rFonts w:hint="eastAsia" w:ascii="楷体" w:hAnsi="楷体" w:eastAsia="楷体" w:cs="楷体"/>
                <w:bCs/>
              </w:rPr>
              <w:t>（2）照明：单相交流220V，50HZ</w:t>
            </w:r>
          </w:p>
          <w:p>
            <w:pPr>
              <w:snapToGrid w:val="0"/>
              <w:spacing w:line="340" w:lineRule="exact"/>
              <w:rPr>
                <w:rFonts w:hint="eastAsia" w:ascii="楷体" w:hAnsi="楷体" w:eastAsia="楷体" w:cs="楷体"/>
                <w:bCs/>
              </w:rPr>
            </w:pPr>
            <w:r>
              <w:rPr>
                <w:rFonts w:hint="eastAsia" w:ascii="楷体" w:hAnsi="楷体" w:eastAsia="楷体" w:cs="楷体"/>
                <w:bCs/>
              </w:rPr>
              <w:t>（3）注：由业主提供三相五线制电源，零地线始终分离</w:t>
            </w:r>
          </w:p>
          <w:p>
            <w:pPr>
              <w:snapToGrid w:val="0"/>
              <w:spacing w:line="340" w:lineRule="exact"/>
              <w:rPr>
                <w:rFonts w:hint="eastAsia" w:ascii="楷体" w:hAnsi="楷体" w:eastAsia="楷体" w:cs="楷体"/>
                <w:bCs/>
              </w:rPr>
            </w:pPr>
            <w:r>
              <w:rPr>
                <w:rFonts w:hint="eastAsia" w:ascii="楷体" w:hAnsi="楷体" w:eastAsia="楷体" w:cs="楷体"/>
                <w:bCs/>
              </w:rPr>
              <w:t>（4）设备额定能耗约 15KW</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用户提供，并引至机房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2</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机房</w:t>
            </w: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（1）异步曳引机：</w:t>
            </w:r>
            <w:r>
              <w:rPr>
                <w:rFonts w:hint="eastAsia" w:ascii="楷体" w:hAnsi="楷体" w:eastAsia="楷体" w:cs="楷体"/>
                <w:bCs/>
                <w:u w:val="single"/>
              </w:rPr>
              <w:t xml:space="preserve"> 2000 </w:t>
            </w:r>
            <w:r>
              <w:rPr>
                <w:rFonts w:hint="eastAsia" w:ascii="楷体" w:hAnsi="楷体" w:eastAsia="楷体" w:cs="楷体"/>
                <w:bCs/>
              </w:rPr>
              <w:t>kg，</w:t>
            </w:r>
            <w:r>
              <w:rPr>
                <w:rFonts w:hint="eastAsia" w:ascii="楷体" w:hAnsi="楷体" w:eastAsia="楷体" w:cs="楷体"/>
                <w:bCs/>
                <w:u w:val="single"/>
              </w:rPr>
              <w:t xml:space="preserve"> 0.5  </w:t>
            </w:r>
            <w:r>
              <w:rPr>
                <w:rFonts w:hint="eastAsia" w:ascii="楷体" w:hAnsi="楷体" w:eastAsia="楷体" w:cs="楷体"/>
                <w:bCs/>
              </w:rPr>
              <w:t>m/s；</w:t>
            </w:r>
          </w:p>
        </w:tc>
        <w:tc>
          <w:tcPr>
            <w:tcW w:w="1176" w:type="dxa"/>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（2）制动器：二侧独立安全式制动</w:t>
            </w:r>
          </w:p>
        </w:tc>
        <w:tc>
          <w:tcPr>
            <w:tcW w:w="1176" w:type="dxa"/>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 xml:space="preserve">（3）承重梁  </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3</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拖动控制系统VVVF（调频调压调速）HYVF05</w:t>
            </w: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（1）控制柜；全电脑控制系统</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（2）控制系统：VVVF驱动</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一体式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（3）WETON系列旋转编码器</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（4）强电元件为富士系列产品</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4</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轿厢</w:t>
            </w:r>
          </w:p>
        </w:tc>
        <w:tc>
          <w:tcPr>
            <w:tcW w:w="6384" w:type="dxa"/>
            <w:vAlign w:val="center"/>
          </w:tcPr>
          <w:p>
            <w:pPr>
              <w:tabs>
                <w:tab w:val="left" w:pos="1140"/>
              </w:tabs>
              <w:snapToGrid w:val="0"/>
              <w:spacing w:line="340" w:lineRule="exact"/>
              <w:ind w:left="525" w:hanging="525" w:hangingChars="250"/>
              <w:rPr>
                <w:rFonts w:hint="eastAsia" w:ascii="楷体" w:hAnsi="楷体" w:eastAsia="楷体" w:cs="楷体"/>
                <w:bCs/>
              </w:rPr>
            </w:pPr>
            <w:r>
              <w:rPr>
                <w:rFonts w:hint="eastAsia" w:ascii="楷体" w:hAnsi="楷体" w:eastAsia="楷体" w:cs="楷体"/>
                <w:bCs/>
              </w:rPr>
              <w:t>（1）轿底、轿架均采用加强型设计和用料，确保轿架的刚度和抗倾覆能力，有效防止轿底在使用过程中出现的凹凸变形，全部用国标型材</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（2）上梁组件 </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（3）立柱组件  </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（4）下梁组件 </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 xml:space="preserve">（5）轿    底 </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140"/>
              </w:tabs>
              <w:snapToGrid w:val="0"/>
              <w:spacing w:line="400" w:lineRule="exact"/>
              <w:rPr>
                <w:rFonts w:hint="eastAsia" w:ascii="楷体" w:hAnsi="楷体" w:eastAsia="楷体" w:cs="楷体"/>
                <w:bCs/>
              </w:rPr>
            </w:pPr>
            <w:r>
              <w:rPr>
                <w:rFonts w:hint="eastAsia" w:ascii="楷体" w:hAnsi="楷体" w:eastAsia="楷体" w:cs="楷体"/>
                <w:bCs/>
              </w:rPr>
              <w:t>（6）底    板：花纹钢板制作</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（7）轿门、壁板、厅门采用冷板轧制成型，果绿色烤漆处理</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5</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门机层门</w:t>
            </w: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（1）同步带式自动门机系统及自闭装置</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（2）各层厅门配设标准小门框</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 xml:space="preserve">（3）各层门、门框材料均为冷板轧制成型，果绿色烤漆处理 </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（4）门坎：轿门、厅门均用硬质铝合金特制型材</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6</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信号装置</w:t>
            </w: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 xml:space="preserve">（1）数字式轿厢位置指示     </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（2）内外配设轻触式按钮</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（3）所有按钮均有响应指示</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jc w:val="center"/>
              <w:rPr>
                <w:rFonts w:hint="eastAsia" w:ascii="楷体" w:hAnsi="楷体" w:eastAsia="楷体" w:cs="楷体"/>
                <w:bCs/>
              </w:rPr>
            </w:pP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（4）操作面板：全部选用发纹不锈钢</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7</w:t>
            </w:r>
          </w:p>
        </w:tc>
        <w:tc>
          <w:tcPr>
            <w:tcW w:w="1441" w:type="dxa"/>
            <w:vMerge w:val="restart"/>
            <w:vAlign w:val="center"/>
          </w:tcPr>
          <w:p>
            <w:pPr>
              <w:snapToGrid w:val="0"/>
              <w:spacing w:line="400" w:lineRule="exact"/>
              <w:jc w:val="center"/>
              <w:rPr>
                <w:rFonts w:hint="eastAsia" w:ascii="楷体" w:hAnsi="楷体" w:eastAsia="楷体" w:cs="楷体"/>
                <w:bCs/>
              </w:rPr>
            </w:pPr>
            <w:r>
              <w:rPr>
                <w:rFonts w:hint="eastAsia" w:ascii="楷体" w:hAnsi="楷体" w:eastAsia="楷体" w:cs="楷体"/>
                <w:bCs/>
              </w:rPr>
              <w:t>平衡导向</w:t>
            </w:r>
          </w:p>
        </w:tc>
        <w:tc>
          <w:tcPr>
            <w:tcW w:w="6384"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（1）主、副导轨采用国标产品</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 xml:space="preserve">（2）钢丝绳 </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（3）平衡装置</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（4）导向轮、反绳电梯专用</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（5）滑动导靴</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restart"/>
            <w:vAlign w:val="center"/>
          </w:tcPr>
          <w:p>
            <w:pPr>
              <w:snapToGrid w:val="0"/>
              <w:spacing w:line="350" w:lineRule="exact"/>
              <w:ind w:firstLine="102" w:firstLineChars="49"/>
              <w:jc w:val="center"/>
              <w:rPr>
                <w:rFonts w:hint="eastAsia" w:ascii="楷体" w:hAnsi="楷体" w:eastAsia="楷体" w:cs="楷体"/>
                <w:bCs/>
              </w:rPr>
            </w:pPr>
            <w:r>
              <w:rPr>
                <w:rFonts w:hint="eastAsia" w:ascii="楷体" w:hAnsi="楷体" w:eastAsia="楷体" w:cs="楷体"/>
                <w:bCs/>
              </w:rPr>
              <w:t>8</w:t>
            </w:r>
          </w:p>
        </w:tc>
        <w:tc>
          <w:tcPr>
            <w:tcW w:w="1441" w:type="dxa"/>
            <w:vMerge w:val="restart"/>
            <w:vAlign w:val="center"/>
          </w:tcPr>
          <w:p>
            <w:pPr>
              <w:snapToGrid w:val="0"/>
              <w:spacing w:line="400" w:lineRule="exact"/>
              <w:rPr>
                <w:rFonts w:hint="eastAsia" w:ascii="楷体" w:hAnsi="楷体" w:eastAsia="楷体" w:cs="楷体"/>
                <w:bCs/>
              </w:rPr>
            </w:pPr>
            <w:r>
              <w:rPr>
                <w:rFonts w:hint="eastAsia" w:ascii="楷体" w:hAnsi="楷体" w:eastAsia="楷体" w:cs="楷体"/>
                <w:bCs/>
              </w:rPr>
              <w:t>安全装置</w:t>
            </w: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（1）限速器（下行超速）双向式</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（2）安全钳</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（3）缓冲器</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（4）上下限位保护</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Merge w:val="continue"/>
            <w:vAlign w:val="center"/>
          </w:tcPr>
          <w:p>
            <w:pPr>
              <w:snapToGrid w:val="0"/>
              <w:spacing w:line="350" w:lineRule="exact"/>
              <w:jc w:val="center"/>
              <w:rPr>
                <w:rFonts w:hint="eastAsia" w:ascii="楷体" w:hAnsi="楷体" w:eastAsia="楷体" w:cs="楷体"/>
                <w:bCs/>
              </w:rPr>
            </w:pPr>
          </w:p>
        </w:tc>
        <w:tc>
          <w:tcPr>
            <w:tcW w:w="1441" w:type="dxa"/>
            <w:vMerge w:val="continue"/>
            <w:vAlign w:val="center"/>
          </w:tcPr>
          <w:p>
            <w:pPr>
              <w:snapToGrid w:val="0"/>
              <w:spacing w:line="400" w:lineRule="exact"/>
              <w:rPr>
                <w:rFonts w:hint="eastAsia" w:ascii="楷体" w:hAnsi="楷体" w:eastAsia="楷体" w:cs="楷体"/>
                <w:bCs/>
              </w:rPr>
            </w:pP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（5）上下极限保护</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9</w:t>
            </w:r>
          </w:p>
        </w:tc>
        <w:tc>
          <w:tcPr>
            <w:tcW w:w="1441"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撑架</w:t>
            </w: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L65×65构成</w:t>
            </w:r>
          </w:p>
        </w:tc>
        <w:tc>
          <w:tcPr>
            <w:tcW w:w="1176" w:type="dxa"/>
            <w:vAlign w:val="center"/>
          </w:tcPr>
          <w:p>
            <w:pPr>
              <w:rPr>
                <w:rFonts w:hint="eastAsia" w:ascii="楷体" w:hAnsi="楷体" w:eastAsia="楷体" w:cs="楷体"/>
              </w:rPr>
            </w:pPr>
            <w:r>
              <w:rPr>
                <w:rFonts w:hint="eastAsia" w:ascii="楷体" w:hAnsi="楷体" w:eastAsia="楷体" w:cs="楷体"/>
                <w:bCs/>
              </w:rPr>
              <w:t>广立标配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47" w:type="dxa"/>
            <w:vAlign w:val="center"/>
          </w:tcPr>
          <w:p>
            <w:pPr>
              <w:snapToGrid w:val="0"/>
              <w:spacing w:line="350" w:lineRule="exact"/>
              <w:jc w:val="center"/>
              <w:rPr>
                <w:rFonts w:hint="eastAsia" w:ascii="楷体" w:hAnsi="楷体" w:eastAsia="楷体" w:cs="楷体"/>
                <w:bCs/>
              </w:rPr>
            </w:pPr>
            <w:r>
              <w:rPr>
                <w:rFonts w:hint="eastAsia" w:ascii="楷体" w:hAnsi="楷体" w:eastAsia="楷体" w:cs="楷体"/>
                <w:bCs/>
              </w:rPr>
              <w:t>10</w:t>
            </w:r>
          </w:p>
        </w:tc>
        <w:tc>
          <w:tcPr>
            <w:tcW w:w="1441"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出入口保护</w:t>
            </w:r>
          </w:p>
        </w:tc>
        <w:tc>
          <w:tcPr>
            <w:tcW w:w="6384" w:type="dxa"/>
            <w:vAlign w:val="center"/>
          </w:tcPr>
          <w:p>
            <w:pPr>
              <w:tabs>
                <w:tab w:val="left" w:pos="1200"/>
              </w:tabs>
              <w:snapToGrid w:val="0"/>
              <w:spacing w:line="400" w:lineRule="exact"/>
              <w:rPr>
                <w:rFonts w:hint="eastAsia" w:ascii="楷体" w:hAnsi="楷体" w:eastAsia="楷体" w:cs="楷体"/>
                <w:bCs/>
              </w:rPr>
            </w:pPr>
            <w:r>
              <w:rPr>
                <w:rFonts w:hint="eastAsia" w:ascii="楷体" w:hAnsi="楷体" w:eastAsia="楷体" w:cs="楷体"/>
                <w:bCs/>
              </w:rPr>
              <w:t>光幕保护</w:t>
            </w:r>
          </w:p>
        </w:tc>
        <w:tc>
          <w:tcPr>
            <w:tcW w:w="1176" w:type="dxa"/>
            <w:vAlign w:val="center"/>
          </w:tcPr>
          <w:p>
            <w:pPr>
              <w:snapToGrid w:val="0"/>
              <w:spacing w:line="400" w:lineRule="exact"/>
              <w:rPr>
                <w:rFonts w:hint="eastAsia" w:ascii="楷体" w:hAnsi="楷体" w:eastAsia="楷体" w:cs="楷体"/>
                <w:bCs/>
              </w:rPr>
            </w:pPr>
            <w:r>
              <w:rPr>
                <w:rFonts w:hint="eastAsia" w:ascii="楷体" w:hAnsi="楷体" w:eastAsia="楷体" w:cs="楷体"/>
                <w:bCs/>
              </w:rPr>
              <w:t>广立标配</w:t>
            </w:r>
          </w:p>
        </w:tc>
      </w:tr>
    </w:tbl>
    <w:p>
      <w:pPr>
        <w:snapToGrid w:val="0"/>
        <w:spacing w:line="240" w:lineRule="atLeast"/>
        <w:rPr>
          <w:rFonts w:hint="eastAsia" w:ascii="楷体" w:hAnsi="楷体" w:eastAsia="楷体" w:cs="楷体"/>
          <w:b/>
          <w:bCs/>
        </w:rPr>
      </w:pPr>
    </w:p>
    <w:p>
      <w:pPr>
        <w:autoSpaceDE w:val="0"/>
        <w:autoSpaceDN w:val="0"/>
        <w:adjustRightInd w:val="0"/>
        <w:spacing w:line="360" w:lineRule="exact"/>
        <w:rPr>
          <w:rFonts w:hint="eastAsia" w:ascii="楷体" w:hAnsi="楷体" w:eastAsia="楷体" w:cs="楷体"/>
        </w:rPr>
      </w:pPr>
    </w:p>
    <w:p>
      <w:pPr>
        <w:autoSpaceDE w:val="0"/>
        <w:autoSpaceDN w:val="0"/>
        <w:adjustRightInd w:val="0"/>
        <w:spacing w:line="360" w:lineRule="exact"/>
        <w:ind w:firstLine="3597" w:firstLineChars="1713"/>
        <w:rPr>
          <w:rFonts w:hint="eastAsia" w:ascii="楷体" w:hAnsi="楷体" w:eastAsia="楷体" w:cs="楷体"/>
        </w:rPr>
      </w:pPr>
      <w:r>
        <w:rPr>
          <w:rFonts w:hint="eastAsia" w:ascii="楷体" w:hAnsi="楷体" w:eastAsia="楷体" w:cs="楷体"/>
        </w:rPr>
        <w:t>合同约定：</w:t>
      </w:r>
    </w:p>
    <w:p>
      <w:pPr>
        <w:autoSpaceDE w:val="0"/>
        <w:autoSpaceDN w:val="0"/>
        <w:adjustRightInd w:val="0"/>
        <w:spacing w:line="360" w:lineRule="exact"/>
        <w:ind w:left="309" w:leftChars="147"/>
        <w:rPr>
          <w:rFonts w:hint="eastAsia" w:ascii="楷体" w:hAnsi="楷体" w:eastAsia="楷体" w:cs="楷体"/>
        </w:rPr>
      </w:pPr>
      <w:r>
        <w:rPr>
          <w:rFonts w:hint="eastAsia" w:ascii="楷体" w:hAnsi="楷体" w:eastAsia="楷体" w:cs="楷体"/>
        </w:rPr>
        <w:t xml:space="preserve">1、合同总价不包含电梯井道不符合广立电梯公司井道要求标准的修改、井道预埋的设置、电梯安装过程的水电费及工地管理费用、机房安全门、电梯完工后所有土建修缮工作、连接到电梯控制柜动力电源、机房照明灯、灭火器等工程材料及费用、施工现场的各项管理费及施工水电费。 </w:t>
      </w:r>
    </w:p>
    <w:p>
      <w:pPr>
        <w:spacing w:line="360" w:lineRule="exact"/>
        <w:ind w:left="210" w:leftChars="100"/>
        <w:rPr>
          <w:rFonts w:hint="eastAsia" w:ascii="楷体" w:hAnsi="楷体" w:eastAsia="楷体" w:cs="楷体"/>
        </w:rPr>
      </w:pPr>
      <w:r>
        <w:rPr>
          <w:rFonts w:hint="eastAsia" w:ascii="楷体" w:hAnsi="楷体" w:eastAsia="楷体" w:cs="楷体"/>
        </w:rPr>
        <w:t>2、乙方负责旧电梯的行政免费注销手续，旧电梯由乙方免费运走，旧电梯拆卸保险费，废品处理证明，以料代工处理。</w:t>
      </w:r>
    </w:p>
    <w:p>
      <w:pPr>
        <w:ind w:right="-313" w:rightChars="-149"/>
        <w:rPr>
          <w:rFonts w:hint="eastAsia" w:ascii="楷体" w:hAnsi="楷体" w:eastAsia="楷体" w:cs="楷体"/>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Style w:val="16"/>
          <w:rFonts w:hint="eastAsia" w:ascii="楷体" w:hAnsi="楷体" w:eastAsia="楷体" w:cs="楷体"/>
          <w:color w:val="000000"/>
          <w:sz w:val="30"/>
          <w:szCs w:val="30"/>
        </w:rPr>
      </w:pPr>
    </w:p>
    <w:p>
      <w:pPr>
        <w:ind w:right="-313" w:rightChars="-149"/>
        <w:jc w:val="center"/>
        <w:rPr>
          <w:rFonts w:hint="eastAsia" w:ascii="楷体" w:hAnsi="楷体" w:eastAsia="楷体" w:cs="楷体"/>
        </w:rPr>
      </w:pPr>
      <w:r>
        <w:rPr>
          <w:rStyle w:val="16"/>
          <w:rFonts w:hint="eastAsia" w:ascii="楷体" w:hAnsi="楷体" w:eastAsia="楷体" w:cs="楷体"/>
          <w:color w:val="000000"/>
          <w:sz w:val="30"/>
          <w:szCs w:val="30"/>
        </w:rPr>
        <w:t>第四部分  开标、评标和定标</w:t>
      </w:r>
    </w:p>
    <w:p>
      <w:pPr>
        <w:jc w:val="center"/>
        <w:outlineLvl w:val="1"/>
        <w:rPr>
          <w:rFonts w:hint="eastAsia" w:ascii="楷体" w:hAnsi="楷体" w:eastAsia="楷体" w:cs="楷体"/>
          <w:b/>
          <w:bCs/>
          <w:sz w:val="24"/>
        </w:rPr>
      </w:pPr>
      <w:bookmarkStart w:id="119" w:name="_Toc42329464"/>
      <w:bookmarkStart w:id="120" w:name="_Toc401575152"/>
      <w:bookmarkStart w:id="121" w:name="_Toc42394668"/>
      <w:bookmarkStart w:id="122" w:name="_Toc101951265"/>
      <w:bookmarkStart w:id="123" w:name="_Toc101843127"/>
      <w:bookmarkStart w:id="124" w:name="_Toc42315985"/>
      <w:bookmarkStart w:id="125" w:name="_Toc101775127"/>
      <w:bookmarkStart w:id="126" w:name="_Toc101771374"/>
      <w:bookmarkStart w:id="127" w:name="_Toc42315183"/>
      <w:bookmarkStart w:id="128" w:name="_Toc42316808"/>
      <w:bookmarkStart w:id="129" w:name="_Toc403491568"/>
      <w:bookmarkStart w:id="130" w:name="_Toc42394512"/>
      <w:bookmarkStart w:id="131" w:name="_Toc98579065"/>
      <w:bookmarkStart w:id="132" w:name="_Toc50276153"/>
      <w:bookmarkStart w:id="133" w:name="_Toc98580289"/>
      <w:bookmarkStart w:id="134" w:name="_Toc98579007"/>
      <w:bookmarkStart w:id="135" w:name="_Toc42394513"/>
      <w:bookmarkStart w:id="136" w:name="_Toc98579606"/>
      <w:bookmarkStart w:id="137" w:name="_Toc42394669"/>
      <w:bookmarkStart w:id="138" w:name="_Toc41884701"/>
      <w:bookmarkStart w:id="139" w:name="_Toc42313167"/>
      <w:bookmarkStart w:id="140" w:name="_Toc41723931"/>
      <w:r>
        <w:rPr>
          <w:rFonts w:hint="eastAsia" w:ascii="楷体" w:hAnsi="楷体" w:eastAsia="楷体" w:cs="楷体"/>
          <w:b/>
          <w:sz w:val="24"/>
          <w:highlight w:val="white"/>
        </w:rPr>
        <w:t>一  开标</w:t>
      </w:r>
      <w:bookmarkEnd w:id="119"/>
      <w:bookmarkEnd w:id="120"/>
      <w:bookmarkEnd w:id="121"/>
      <w:bookmarkEnd w:id="122"/>
      <w:bookmarkEnd w:id="123"/>
      <w:bookmarkEnd w:id="124"/>
      <w:bookmarkEnd w:id="125"/>
      <w:bookmarkEnd w:id="126"/>
      <w:bookmarkEnd w:id="127"/>
      <w:bookmarkEnd w:id="128"/>
      <w:bookmarkEnd w:id="129"/>
      <w:bookmarkEnd w:id="130"/>
    </w:p>
    <w:p>
      <w:pPr>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1、采购代理机构在《招标公告》中规定的日期、时间和地点组织公开开标。开标时原则上应当有采购人代表和投标人代表参加。参加开标的代表应签到以证明其出席。</w:t>
      </w:r>
    </w:p>
    <w:p>
      <w:pPr>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2、开标时，由投标人或其推选的代表检查投标文件的密封情况，经确认无误后由采购代理机构工作人员当众拆封，宣读投标人名称、投标价格、投标文件的其他主要内容和招标文件允许提供的备选投标方案。</w:t>
      </w:r>
    </w:p>
    <w:p>
      <w:pPr>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3、采购代理机构做好开标记录，开标记录由各投标人签字确认。</w:t>
      </w:r>
    </w:p>
    <w:p>
      <w:pPr>
        <w:ind w:firstLine="480" w:firstLineChars="200"/>
        <w:jc w:val="left"/>
        <w:rPr>
          <w:rFonts w:hint="eastAsia" w:ascii="楷体" w:hAnsi="楷体" w:eastAsia="楷体" w:cs="楷体"/>
          <w:sz w:val="24"/>
          <w:highlight w:val="white"/>
        </w:rPr>
      </w:pPr>
    </w:p>
    <w:p>
      <w:pPr>
        <w:jc w:val="center"/>
        <w:outlineLvl w:val="1"/>
        <w:rPr>
          <w:rFonts w:hint="eastAsia" w:ascii="楷体" w:hAnsi="楷体" w:eastAsia="楷体" w:cs="楷体"/>
          <w:b/>
          <w:sz w:val="24"/>
        </w:rPr>
      </w:pPr>
      <w:bookmarkStart w:id="141" w:name="_Toc101771375"/>
      <w:bookmarkStart w:id="142" w:name="_Toc101775128"/>
      <w:bookmarkStart w:id="143" w:name="_Toc101843128"/>
      <w:bookmarkStart w:id="144" w:name="_Toc101951266"/>
      <w:bookmarkStart w:id="145" w:name="_Toc401575153"/>
      <w:bookmarkStart w:id="146" w:name="_Toc403491569"/>
      <w:r>
        <w:rPr>
          <w:rFonts w:hint="eastAsia" w:ascii="楷体" w:hAnsi="楷体" w:eastAsia="楷体" w:cs="楷体"/>
          <w:b/>
          <w:sz w:val="24"/>
          <w:highlight w:val="white"/>
        </w:rPr>
        <w:t>二  评标</w:t>
      </w:r>
      <w:bookmarkEnd w:id="131"/>
      <w:bookmarkEnd w:id="132"/>
      <w:bookmarkEnd w:id="133"/>
      <w:bookmarkEnd w:id="134"/>
      <w:bookmarkEnd w:id="135"/>
      <w:bookmarkEnd w:id="136"/>
      <w:bookmarkEnd w:id="137"/>
      <w:bookmarkEnd w:id="141"/>
      <w:bookmarkEnd w:id="142"/>
      <w:bookmarkEnd w:id="143"/>
      <w:bookmarkEnd w:id="144"/>
      <w:r>
        <w:rPr>
          <w:rFonts w:hint="eastAsia" w:ascii="楷体" w:hAnsi="楷体" w:eastAsia="楷体" w:cs="楷体"/>
          <w:b/>
          <w:sz w:val="24"/>
          <w:highlight w:val="white"/>
        </w:rPr>
        <w:t>委员会</w:t>
      </w:r>
      <w:bookmarkEnd w:id="145"/>
      <w:bookmarkEnd w:id="146"/>
    </w:p>
    <w:p>
      <w:pPr>
        <w:ind w:firstLine="480" w:firstLineChars="200"/>
        <w:jc w:val="left"/>
        <w:rPr>
          <w:rFonts w:hint="eastAsia" w:ascii="楷体" w:hAnsi="楷体" w:eastAsia="楷体" w:cs="楷体"/>
          <w:sz w:val="24"/>
        </w:rPr>
      </w:pPr>
      <w:r>
        <w:rPr>
          <w:rFonts w:hint="eastAsia" w:ascii="楷体" w:hAnsi="楷体" w:eastAsia="楷体" w:cs="楷体"/>
          <w:sz w:val="24"/>
          <w:highlight w:val="white"/>
        </w:rPr>
        <w:t>1、本次招标依法组建评标委员会。评标委员会由采购人的代表和从采购专家库随机抽取的专家组成，如采购人不派代表参加评审，则评标委员会全部由从采购专家库随机抽取的专家组成。评标委员会将本着公平、公正、科学、择优的原则，严格按照法律法规和招标文件设定的程序和规则推荐评审结果，任何单位和个人不得非法干预或者影响评标过程和结果。</w:t>
      </w:r>
    </w:p>
    <w:p>
      <w:pPr>
        <w:ind w:firstLine="480" w:firstLineChars="200"/>
        <w:jc w:val="left"/>
        <w:rPr>
          <w:rFonts w:hint="eastAsia" w:ascii="楷体" w:hAnsi="楷体" w:eastAsia="楷体" w:cs="楷体"/>
          <w:sz w:val="24"/>
        </w:rPr>
      </w:pPr>
      <w:r>
        <w:rPr>
          <w:rFonts w:hint="eastAsia" w:ascii="楷体" w:hAnsi="楷体" w:eastAsia="楷体" w:cs="楷体"/>
          <w:sz w:val="24"/>
          <w:highlight w:val="white"/>
        </w:rPr>
        <w:t>2、评标委员会成员发现本人与参加采购活动的供应商有利害关系之一的，应当主动提出回避。采购人或者采购代理机构发现评标委员会成员与参加采购活动的供应商利害关系之一的，应当要求其回避：</w:t>
      </w:r>
    </w:p>
    <w:p>
      <w:pPr>
        <w:ind w:firstLine="480" w:firstLineChars="200"/>
        <w:jc w:val="left"/>
        <w:rPr>
          <w:rFonts w:hint="eastAsia" w:ascii="楷体" w:hAnsi="楷体" w:eastAsia="楷体" w:cs="楷体"/>
          <w:sz w:val="24"/>
        </w:rPr>
      </w:pPr>
      <w:r>
        <w:rPr>
          <w:rFonts w:hint="eastAsia" w:ascii="楷体" w:hAnsi="楷体" w:eastAsia="楷体" w:cs="楷体"/>
          <w:sz w:val="24"/>
          <w:highlight w:val="white"/>
        </w:rPr>
        <w:t>3、评标委员会判断投标文件的有效性、合格性和响应情况，仅依据投标人所提交一切文件的真实表述，不受与本项目无直接关联的外部信息、传言而影响自身的专业判断。</w:t>
      </w:r>
    </w:p>
    <w:p>
      <w:pPr>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4、评标委员会各成员应当独立对每个投标人的投标文件进行评价，并对评价意见承担个人责任。评标委员会成员对需要共同认定的事项存在争议的，应当按照少数服从多数的原则作出结论。持不同意见的评标委员会成员应当在评标报告上签署不同意见及理由，否则视为同意评标报告。</w:t>
      </w:r>
    </w:p>
    <w:p>
      <w:pPr>
        <w:ind w:firstLine="480" w:firstLineChars="200"/>
        <w:jc w:val="left"/>
        <w:rPr>
          <w:rFonts w:hint="eastAsia" w:ascii="楷体" w:hAnsi="楷体" w:eastAsia="楷体" w:cs="楷体"/>
          <w:sz w:val="24"/>
          <w:highlight w:val="white"/>
        </w:rPr>
      </w:pPr>
    </w:p>
    <w:p>
      <w:pPr>
        <w:jc w:val="center"/>
        <w:outlineLvl w:val="1"/>
        <w:rPr>
          <w:rFonts w:hint="eastAsia" w:ascii="楷体" w:hAnsi="楷体" w:eastAsia="楷体" w:cs="楷体"/>
          <w:b/>
          <w:sz w:val="24"/>
        </w:rPr>
      </w:pPr>
      <w:bookmarkStart w:id="147" w:name="_Toc401575154"/>
      <w:bookmarkStart w:id="148" w:name="_Toc403491570"/>
      <w:r>
        <w:rPr>
          <w:rFonts w:hint="eastAsia" w:ascii="楷体" w:hAnsi="楷体" w:eastAsia="楷体" w:cs="楷体"/>
          <w:b/>
          <w:sz w:val="24"/>
          <w:highlight w:val="white"/>
        </w:rPr>
        <w:t>三  评标方法</w:t>
      </w:r>
      <w:bookmarkEnd w:id="147"/>
      <w:bookmarkEnd w:id="148"/>
    </w:p>
    <w:p>
      <w:pPr>
        <w:ind w:firstLine="480"/>
        <w:jc w:val="left"/>
        <w:rPr>
          <w:rFonts w:hint="eastAsia" w:ascii="楷体" w:hAnsi="楷体" w:eastAsia="楷体" w:cs="楷体"/>
          <w:sz w:val="24"/>
        </w:rPr>
      </w:pPr>
      <w:bookmarkStart w:id="149" w:name="EB7884e410a3964767ae21e9a364dce159"/>
      <w:r>
        <w:rPr>
          <w:rFonts w:hint="eastAsia" w:ascii="楷体" w:hAnsi="楷体" w:eastAsia="楷体" w:cs="楷体"/>
          <w:sz w:val="24"/>
        </w:rPr>
        <w:t>1、</w:t>
      </w:r>
      <w:r>
        <w:rPr>
          <w:rFonts w:hint="eastAsia" w:ascii="楷体" w:hAnsi="楷体" w:eastAsia="楷体" w:cs="楷体"/>
          <w:color w:val="000000"/>
          <w:sz w:val="24"/>
        </w:rPr>
        <w:t>本次评标采用综合评分法。评标以招标文件规定的条件为依据。评分比重构成如下：</w:t>
      </w:r>
    </w:p>
    <w:tbl>
      <w:tblPr>
        <w:tblStyle w:val="14"/>
        <w:tblW w:w="4969" w:type="pct"/>
        <w:tblInd w:w="0"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2066"/>
        <w:gridCol w:w="2067"/>
        <w:gridCol w:w="2067"/>
        <w:gridCol w:w="2070"/>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1249"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评分项目</w:t>
            </w:r>
          </w:p>
        </w:tc>
        <w:tc>
          <w:tcPr>
            <w:tcW w:w="1249"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技术评分</w:t>
            </w:r>
          </w:p>
        </w:tc>
        <w:tc>
          <w:tcPr>
            <w:tcW w:w="1249"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商务评分</w:t>
            </w:r>
          </w:p>
        </w:tc>
        <w:tc>
          <w:tcPr>
            <w:tcW w:w="1251"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价格评分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1249"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分值</w:t>
            </w:r>
          </w:p>
        </w:tc>
        <w:tc>
          <w:tcPr>
            <w:tcW w:w="1249"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lang w:val="en-US" w:eastAsia="zh-CN"/>
              </w:rPr>
              <w:t>40</w:t>
            </w:r>
            <w:r>
              <w:rPr>
                <w:rFonts w:hint="eastAsia" w:ascii="楷体" w:hAnsi="楷体" w:eastAsia="楷体" w:cs="楷体"/>
                <w:sz w:val="24"/>
              </w:rPr>
              <w:t>分</w:t>
            </w:r>
          </w:p>
        </w:tc>
        <w:tc>
          <w:tcPr>
            <w:tcW w:w="1249"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lang w:val="en-US" w:eastAsia="zh-CN"/>
              </w:rPr>
              <w:t>30</w:t>
            </w:r>
            <w:r>
              <w:rPr>
                <w:rFonts w:hint="eastAsia" w:ascii="楷体" w:hAnsi="楷体" w:eastAsia="楷体" w:cs="楷体"/>
                <w:sz w:val="24"/>
              </w:rPr>
              <w:t>分</w:t>
            </w:r>
          </w:p>
        </w:tc>
        <w:tc>
          <w:tcPr>
            <w:tcW w:w="1251"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lang w:val="en-US" w:eastAsia="zh-CN"/>
              </w:rPr>
              <w:t>30</w:t>
            </w:r>
            <w:r>
              <w:rPr>
                <w:rFonts w:hint="eastAsia" w:ascii="楷体" w:hAnsi="楷体" w:eastAsia="楷体" w:cs="楷体"/>
                <w:sz w:val="24"/>
              </w:rPr>
              <w:t>分</w:t>
            </w:r>
          </w:p>
        </w:tc>
      </w:tr>
      <w:bookmarkEnd w:id="149"/>
    </w:tbl>
    <w:p>
      <w:pPr>
        <w:ind w:firstLine="480" w:firstLineChars="200"/>
        <w:jc w:val="left"/>
        <w:rPr>
          <w:rFonts w:hint="eastAsia" w:ascii="楷体" w:hAnsi="楷体" w:eastAsia="楷体" w:cs="楷体"/>
          <w:sz w:val="24"/>
        </w:rPr>
      </w:pPr>
      <w:bookmarkStart w:id="150" w:name="_Toc101843129"/>
      <w:bookmarkStart w:id="151" w:name="_Toc101771376"/>
      <w:bookmarkStart w:id="152" w:name="_Toc101775129"/>
      <w:bookmarkStart w:id="153" w:name="_Toc101951267"/>
      <w:r>
        <w:rPr>
          <w:rFonts w:hint="eastAsia" w:ascii="楷体" w:hAnsi="楷体" w:eastAsia="楷体" w:cs="楷体"/>
          <w:sz w:val="24"/>
          <w:highlight w:val="white"/>
        </w:rPr>
        <w:t>2、投标文件差异修正原则</w:t>
      </w:r>
    </w:p>
    <w:p>
      <w:pPr>
        <w:ind w:left="400"/>
        <w:rPr>
          <w:rFonts w:hint="eastAsia" w:ascii="楷体" w:hAnsi="楷体" w:eastAsia="楷体" w:cs="楷体"/>
          <w:sz w:val="24"/>
          <w:lang w:val="en-US" w:eastAsia="zh-CN"/>
        </w:rPr>
      </w:pPr>
      <w:r>
        <w:rPr>
          <w:rFonts w:hint="eastAsia" w:ascii="楷体" w:hAnsi="楷体" w:eastAsia="楷体" w:cs="楷体"/>
          <w:sz w:val="24"/>
          <w:highlight w:val="white"/>
          <w:lang w:val="en-GB"/>
        </w:rPr>
        <w:t>投标文件报价出现前后不一致的，按照下列规定修正：</w:t>
      </w:r>
      <w:r>
        <w:rPr>
          <w:rFonts w:hint="eastAsia" w:ascii="楷体" w:hAnsi="楷体" w:eastAsia="楷体" w:cs="楷体"/>
          <w:sz w:val="24"/>
          <w:highlight w:val="white"/>
          <w:lang w:val="en-US" w:eastAsia="zh-CN"/>
        </w:rPr>
        <w:t xml:space="preserve"> </w:t>
      </w:r>
      <w:bookmarkStart w:id="299" w:name="_GoBack"/>
      <w:bookmarkEnd w:id="299"/>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2.1、</w:t>
      </w:r>
      <w:r>
        <w:rPr>
          <w:rFonts w:hint="eastAsia" w:ascii="楷体" w:hAnsi="楷体" w:eastAsia="楷体" w:cs="楷体"/>
          <w:sz w:val="24"/>
          <w:highlight w:val="white"/>
          <w:lang w:val="en-GB"/>
        </w:rPr>
        <w:t>投标文件中</w:t>
      </w:r>
      <w:r>
        <w:rPr>
          <w:rFonts w:hint="eastAsia" w:ascii="楷体" w:hAnsi="楷体" w:eastAsia="楷体" w:cs="楷体"/>
          <w:sz w:val="24"/>
          <w:lang w:val="en-GB"/>
        </w:rPr>
        <w:t>开标一览表（报价表）内容与投标文件中相应内容不一致的，以开标一览表（报价表）</w:t>
      </w:r>
      <w:r>
        <w:rPr>
          <w:rFonts w:hint="eastAsia" w:ascii="楷体" w:hAnsi="楷体" w:eastAsia="楷体" w:cs="楷体"/>
          <w:sz w:val="24"/>
          <w:highlight w:val="white"/>
          <w:lang w:val="en-GB"/>
        </w:rPr>
        <w:t>为准。</w:t>
      </w:r>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2.2、</w:t>
      </w:r>
      <w:r>
        <w:rPr>
          <w:rFonts w:hint="eastAsia" w:ascii="楷体" w:hAnsi="楷体" w:eastAsia="楷体" w:cs="楷体"/>
          <w:sz w:val="24"/>
          <w:highlight w:val="white"/>
          <w:lang w:val="en-GB"/>
        </w:rPr>
        <w:t>大写金额和小写金额不一致的，以大写金额为准。</w:t>
      </w:r>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2.3、</w:t>
      </w:r>
      <w:r>
        <w:rPr>
          <w:rFonts w:hint="eastAsia" w:ascii="楷体" w:hAnsi="楷体" w:eastAsia="楷体" w:cs="楷体"/>
          <w:sz w:val="24"/>
          <w:highlight w:val="white"/>
          <w:lang w:val="en-GB"/>
        </w:rPr>
        <w:t>单价金额小数点或者百分比有明显错位的，以开标一览表的总价为准，并修改单价。</w:t>
      </w:r>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2.4、</w:t>
      </w:r>
      <w:r>
        <w:rPr>
          <w:rFonts w:hint="eastAsia" w:ascii="楷体" w:hAnsi="楷体" w:eastAsia="楷体" w:cs="楷体"/>
          <w:sz w:val="24"/>
          <w:highlight w:val="white"/>
          <w:lang w:val="en-GB"/>
        </w:rPr>
        <w:t>总价金额与按单价汇总金额不一致的，以单价金额计算结果为准。</w:t>
      </w:r>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2.5、</w:t>
      </w:r>
      <w:r>
        <w:rPr>
          <w:rFonts w:hint="eastAsia" w:ascii="楷体" w:hAnsi="楷体" w:eastAsia="楷体" w:cs="楷体"/>
          <w:sz w:val="24"/>
          <w:highlight w:val="white"/>
          <w:lang w:val="en-GB"/>
        </w:rPr>
        <w:t>投标文件描述内容与原始材料引述内容不一致的，以原始材料内容为准。</w:t>
      </w:r>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2.6、</w:t>
      </w:r>
      <w:r>
        <w:rPr>
          <w:rFonts w:hint="eastAsia" w:ascii="楷体" w:hAnsi="楷体" w:eastAsia="楷体" w:cs="楷体"/>
          <w:sz w:val="24"/>
          <w:highlight w:val="white"/>
          <w:lang w:val="en-GB"/>
        </w:rPr>
        <w:t>对不同文字文本投标文件的解释发生异议的，以中文文本为准。</w:t>
      </w:r>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2.7、</w:t>
      </w:r>
      <w:r>
        <w:rPr>
          <w:rFonts w:hint="eastAsia" w:ascii="楷体" w:hAnsi="楷体" w:eastAsia="楷体" w:cs="楷体"/>
          <w:sz w:val="24"/>
          <w:highlight w:val="white"/>
          <w:lang w:val="en-GB"/>
        </w:rPr>
        <w:t>评标委员会认定为表述不清晰或无法确定的报价均不予修正。</w:t>
      </w:r>
    </w:p>
    <w:p>
      <w:pPr>
        <w:ind w:firstLine="480" w:firstLineChars="200"/>
        <w:rPr>
          <w:rFonts w:hint="eastAsia" w:ascii="楷体" w:hAnsi="楷体" w:eastAsia="楷体" w:cs="楷体"/>
          <w:sz w:val="24"/>
          <w:lang w:val="en-GB"/>
        </w:rPr>
      </w:pPr>
      <w:r>
        <w:rPr>
          <w:rFonts w:hint="eastAsia" w:ascii="楷体" w:hAnsi="楷体" w:eastAsia="楷体" w:cs="楷体"/>
          <w:sz w:val="24"/>
          <w:highlight w:val="white"/>
        </w:rPr>
        <w:t>2.8、</w:t>
      </w:r>
      <w:r>
        <w:rPr>
          <w:rFonts w:hint="eastAsia" w:ascii="楷体" w:hAnsi="楷体" w:eastAsia="楷体" w:cs="楷体"/>
          <w:sz w:val="24"/>
          <w:highlight w:val="white"/>
          <w:lang w:val="en-GB"/>
        </w:rPr>
        <w:t>同时出现两种（含）以上不一致的，按照前款规定的顺序修正。修正后的报价须经投标人确认后产生约束力，投标人确认应当以书面形式，并加盖公章，或者由法定代表人或其授权的代表签字；投标人不确认的，其投标无效。</w:t>
      </w:r>
    </w:p>
    <w:p>
      <w:pPr>
        <w:ind w:firstLine="480" w:firstLineChars="200"/>
        <w:jc w:val="left"/>
        <w:rPr>
          <w:rFonts w:hint="eastAsia" w:ascii="楷体" w:hAnsi="楷体" w:eastAsia="楷体" w:cs="楷体"/>
          <w:sz w:val="24"/>
          <w:lang w:val="en-GB"/>
        </w:rPr>
      </w:pPr>
      <w:r>
        <w:rPr>
          <w:rFonts w:hint="eastAsia" w:ascii="楷体" w:hAnsi="楷体" w:eastAsia="楷体" w:cs="楷体"/>
          <w:sz w:val="24"/>
          <w:highlight w:val="white"/>
        </w:rPr>
        <w:t>3、</w:t>
      </w:r>
      <w:r>
        <w:rPr>
          <w:rFonts w:hint="eastAsia" w:ascii="楷体" w:hAnsi="楷体" w:eastAsia="楷体" w:cs="楷体"/>
          <w:sz w:val="24"/>
          <w:highlight w:val="white"/>
          <w:lang w:val="en-GB"/>
        </w:rPr>
        <w:t>投标文件的澄清、说明或补正</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3.1、对于投标文件中含义不明确、同类问题表述不一致或者有明显文字和计算错误的内容，评标委员会应当要求投标人作出必要的澄清、说明或者补正。</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3.2、投标人的澄清、说明或者补正应当采用书面形式，并加盖公章，或者由法定代表人或其授权的代表签字。投标人的澄清、说明或者补正不得超出投标文件的范围或者改变投标文件的实质性内容。</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3.3、评标委员会成员均应当阅读供应商的澄清、说明或者补正，但应独立参考澄清、说明或者补正对投标文件进行评审，整个澄清、说明或者补正的过程不得存在排斥潜在供应商的现象。</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3.4、如果投标文件实质上不响应招标文件的各项要求，评标委员会将按照招标文件要求予以拒绝，不接受供应商通过修改或撤销其不符合要求的差异或保留，使之成为具有响应性的投标。</w:t>
      </w:r>
    </w:p>
    <w:p>
      <w:pPr>
        <w:tabs>
          <w:tab w:val="left" w:pos="0"/>
          <w:tab w:val="left" w:pos="720"/>
          <w:tab w:val="left" w:pos="1080"/>
        </w:tabs>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3.5、除上述规定的情形之外，评标委员会在评审过程中，不得接收来自评审现场以外的任何形式的文件资料。</w:t>
      </w:r>
    </w:p>
    <w:p>
      <w:pPr>
        <w:tabs>
          <w:tab w:val="left" w:pos="0"/>
          <w:tab w:val="left" w:pos="720"/>
          <w:tab w:val="left" w:pos="1080"/>
        </w:tabs>
        <w:ind w:firstLine="480" w:firstLineChars="200"/>
        <w:jc w:val="left"/>
        <w:rPr>
          <w:rFonts w:hint="eastAsia" w:ascii="楷体" w:hAnsi="楷体" w:eastAsia="楷体" w:cs="楷体"/>
          <w:sz w:val="24"/>
          <w:highlight w:val="white"/>
        </w:rPr>
      </w:pPr>
    </w:p>
    <w:p>
      <w:pPr>
        <w:jc w:val="center"/>
        <w:outlineLvl w:val="1"/>
        <w:rPr>
          <w:rFonts w:hint="eastAsia" w:ascii="楷体" w:hAnsi="楷体" w:eastAsia="楷体" w:cs="楷体"/>
          <w:b/>
          <w:sz w:val="24"/>
        </w:rPr>
      </w:pPr>
      <w:bookmarkStart w:id="154" w:name="_Toc403491571"/>
      <w:bookmarkStart w:id="155" w:name="_Toc401575155"/>
      <w:r>
        <w:rPr>
          <w:rFonts w:hint="eastAsia" w:ascii="楷体" w:hAnsi="楷体" w:eastAsia="楷体" w:cs="楷体"/>
          <w:b/>
          <w:sz w:val="24"/>
          <w:highlight w:val="white"/>
        </w:rPr>
        <w:t>四  评标程序</w:t>
      </w:r>
      <w:bookmarkEnd w:id="150"/>
      <w:bookmarkEnd w:id="151"/>
      <w:bookmarkEnd w:id="152"/>
      <w:bookmarkEnd w:id="153"/>
      <w:bookmarkEnd w:id="154"/>
      <w:bookmarkEnd w:id="155"/>
    </w:p>
    <w:p>
      <w:pPr>
        <w:tabs>
          <w:tab w:val="left" w:pos="0"/>
          <w:tab w:val="left" w:pos="720"/>
          <w:tab w:val="left" w:pos="1080"/>
        </w:tabs>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1、资格审查</w:t>
      </w:r>
    </w:p>
    <w:p>
      <w:pPr>
        <w:tabs>
          <w:tab w:val="left" w:pos="0"/>
        </w:tabs>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1.1、项目开标结束后，采购人或者交易中心应当依法对投标人的资格进行审查，出现不符合下列情形之一时，作无效投标处理。</w:t>
      </w:r>
    </w:p>
    <w:p>
      <w:pPr>
        <w:tabs>
          <w:tab w:val="left" w:pos="0"/>
        </w:tabs>
        <w:jc w:val="center"/>
        <w:rPr>
          <w:rFonts w:hint="eastAsia" w:ascii="楷体" w:hAnsi="楷体" w:eastAsia="楷体" w:cs="楷体"/>
          <w:sz w:val="24"/>
          <w:highlight w:val="white"/>
        </w:rPr>
      </w:pPr>
      <w:r>
        <w:rPr>
          <w:rFonts w:hint="eastAsia" w:ascii="楷体" w:hAnsi="楷体" w:eastAsia="楷体" w:cs="楷体"/>
          <w:b/>
          <w:bCs/>
          <w:sz w:val="24"/>
          <w:highlight w:val="white"/>
        </w:rPr>
        <w:t>资格审查表</w:t>
      </w:r>
    </w:p>
    <w:tbl>
      <w:tblPr>
        <w:tblStyle w:val="14"/>
        <w:tblW w:w="5000" w:type="pct"/>
        <w:tblInd w:w="0"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1188"/>
        <w:gridCol w:w="7134"/>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序号</w:t>
            </w:r>
          </w:p>
        </w:tc>
        <w:tc>
          <w:tcPr>
            <w:tcW w:w="4286"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资格审查内容</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1</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投标文件提交成功，提交的数量、密封和标记符合要求。</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2</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color w:val="000000"/>
                <w:sz w:val="24"/>
              </w:rPr>
              <w:t>具有独立承担民事责任能力的在中华人民共和国境内注册的法人或其他组织（提供法人或者其他组织的营业执照等证明文件复印件）。</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3</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color w:val="000000"/>
                <w:sz w:val="24"/>
              </w:rPr>
              <w:t>具有市场监管局核发的《特种设备安装改造维修许可证》。</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4</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color w:val="000000"/>
                <w:sz w:val="24"/>
              </w:rPr>
              <w:t>供应商未被列入“信用中国”网站中“记录失信被执行人或重大税收违法案件当事人名单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5</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color w:val="000000"/>
                <w:sz w:val="24"/>
              </w:rPr>
              <w:t>有提交《公平竞争承诺书》。</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6</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color w:val="000000"/>
                <w:sz w:val="24"/>
              </w:rPr>
              <w:t>法定代表人或单位负责人为同一个人或者存在直接控股、管理关系的不同供应商，不得同时参加同一项目或同一子项目的投标。</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7</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color w:val="000000"/>
                <w:sz w:val="24"/>
              </w:rPr>
            </w:pPr>
            <w:r>
              <w:rPr>
                <w:rFonts w:hint="eastAsia" w:ascii="楷体" w:hAnsi="楷体" w:eastAsia="楷体" w:cs="楷体"/>
                <w:color w:val="000000"/>
                <w:sz w:val="24"/>
              </w:rPr>
              <w:t>为采购项目提供整体设计、规范编制或者项目管理、监理、检测等服务的供应商，不得再参加同一采购项目的其他采购活动。</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8</w:t>
            </w:r>
          </w:p>
        </w:tc>
        <w:tc>
          <w:tcPr>
            <w:tcW w:w="0" w:type="auto"/>
            <w:tcBorders>
              <w:top w:val="single" w:color="auto" w:sz="6" w:space="0"/>
              <w:left w:val="single" w:color="auto" w:sz="6" w:space="0"/>
              <w:bottom w:val="single" w:color="auto" w:sz="6" w:space="0"/>
              <w:right w:val="single" w:color="auto" w:sz="6" w:space="0"/>
            </w:tcBorders>
            <w:vAlign w:val="center"/>
          </w:tcPr>
          <w:p>
            <w:pPr>
              <w:tabs>
                <w:tab w:val="left" w:pos="0"/>
              </w:tabs>
              <w:jc w:val="left"/>
              <w:rPr>
                <w:rFonts w:hint="eastAsia" w:ascii="楷体" w:hAnsi="楷体" w:eastAsia="楷体" w:cs="楷体"/>
                <w:color w:val="000000"/>
                <w:sz w:val="24"/>
              </w:rPr>
            </w:pPr>
            <w:r>
              <w:rPr>
                <w:rFonts w:hint="eastAsia" w:ascii="楷体" w:hAnsi="楷体" w:eastAsia="楷体" w:cs="楷体"/>
                <w:sz w:val="24"/>
              </w:rPr>
              <w:t>本项目不接受联合体投标。</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11</w:t>
            </w:r>
          </w:p>
        </w:tc>
        <w:tc>
          <w:tcPr>
            <w:tcW w:w="0" w:type="auto"/>
            <w:tcBorders>
              <w:top w:val="single" w:color="auto" w:sz="6" w:space="0"/>
              <w:left w:val="single" w:color="auto" w:sz="6" w:space="0"/>
              <w:bottom w:val="single" w:color="auto" w:sz="6" w:space="0"/>
              <w:right w:val="single" w:color="auto" w:sz="6" w:space="0"/>
            </w:tcBorders>
            <w:vAlign w:val="center"/>
          </w:tcPr>
          <w:p>
            <w:pPr>
              <w:tabs>
                <w:tab w:val="left" w:pos="0"/>
              </w:tabs>
              <w:jc w:val="left"/>
              <w:rPr>
                <w:rFonts w:hint="eastAsia" w:ascii="楷体" w:hAnsi="楷体" w:eastAsia="楷体" w:cs="楷体"/>
                <w:sz w:val="24"/>
              </w:rPr>
            </w:pPr>
            <w:r>
              <w:rPr>
                <w:rFonts w:hint="eastAsia" w:ascii="楷体" w:hAnsi="楷体" w:eastAsia="楷体" w:cs="楷体"/>
                <w:sz w:val="24"/>
              </w:rPr>
              <w:t>本项目不接受分支机构投标。</w:t>
            </w:r>
          </w:p>
        </w:tc>
      </w:tr>
    </w:tbl>
    <w:p>
      <w:pPr>
        <w:widowControl/>
        <w:ind w:firstLine="480" w:firstLineChars="200"/>
        <w:jc w:val="left"/>
        <w:rPr>
          <w:rFonts w:hint="eastAsia" w:ascii="楷体" w:hAnsi="楷体" w:eastAsia="楷体" w:cs="楷体"/>
          <w:kern w:val="0"/>
          <w:sz w:val="24"/>
        </w:rPr>
      </w:pPr>
      <w:r>
        <w:rPr>
          <w:rFonts w:hint="eastAsia" w:ascii="楷体" w:hAnsi="楷体" w:eastAsia="楷体" w:cs="楷体"/>
          <w:kern w:val="0"/>
          <w:sz w:val="24"/>
          <w:highlight w:val="white"/>
        </w:rPr>
        <w:t>1.2、采购人或采购代理机构进行资格审查时认定供应商不合格的，应告知供应商并说明理由。</w:t>
      </w:r>
    </w:p>
    <w:p>
      <w:pPr>
        <w:widowControl/>
        <w:ind w:firstLine="480" w:firstLineChars="200"/>
        <w:jc w:val="left"/>
        <w:rPr>
          <w:rFonts w:hint="eastAsia" w:ascii="楷体" w:hAnsi="楷体" w:eastAsia="楷体" w:cs="楷体"/>
          <w:b/>
          <w:kern w:val="0"/>
          <w:sz w:val="24"/>
        </w:rPr>
      </w:pPr>
      <w:r>
        <w:rPr>
          <w:rFonts w:hint="eastAsia" w:ascii="楷体" w:hAnsi="楷体" w:eastAsia="楷体" w:cs="楷体"/>
          <w:kern w:val="0"/>
          <w:sz w:val="24"/>
          <w:highlight w:val="white"/>
        </w:rPr>
        <w:t>1.3、不通过资格审查或投标无效的，不作符合性审查。</w:t>
      </w:r>
    </w:p>
    <w:p>
      <w:pPr>
        <w:widowControl/>
        <w:ind w:firstLine="480" w:firstLineChars="200"/>
        <w:rPr>
          <w:rFonts w:hint="eastAsia" w:ascii="楷体" w:hAnsi="楷体" w:eastAsia="楷体" w:cs="楷体"/>
          <w:kern w:val="0"/>
          <w:sz w:val="24"/>
          <w:highlight w:val="white"/>
        </w:rPr>
      </w:pPr>
      <w:r>
        <w:rPr>
          <w:rFonts w:hint="eastAsia" w:ascii="楷体" w:hAnsi="楷体" w:eastAsia="楷体" w:cs="楷体"/>
          <w:kern w:val="0"/>
          <w:sz w:val="24"/>
          <w:highlight w:val="white"/>
        </w:rPr>
        <w:t>2、符合性审查</w:t>
      </w:r>
    </w:p>
    <w:p>
      <w:pPr>
        <w:widowControl/>
        <w:ind w:firstLine="480" w:firstLineChars="200"/>
        <w:rPr>
          <w:rFonts w:hint="eastAsia" w:ascii="楷体" w:hAnsi="楷体" w:eastAsia="楷体" w:cs="楷体"/>
          <w:sz w:val="24"/>
          <w:highlight w:val="white"/>
        </w:rPr>
      </w:pPr>
      <w:r>
        <w:rPr>
          <w:rFonts w:hint="eastAsia" w:ascii="楷体" w:hAnsi="楷体" w:eastAsia="楷体" w:cs="楷体"/>
          <w:sz w:val="24"/>
          <w:highlight w:val="white"/>
        </w:rPr>
        <w:t>2.1、评标委员会应当对符合资格的投标人的投标文件进行符合性审查，以确定其是否满足招标文件的实质性要求</w:t>
      </w:r>
      <w:r>
        <w:rPr>
          <w:rFonts w:hint="eastAsia" w:ascii="楷体" w:hAnsi="楷体" w:eastAsia="楷体" w:cs="楷体"/>
          <w:color w:val="000000"/>
          <w:sz w:val="24"/>
          <w:highlight w:val="white"/>
        </w:rPr>
        <w:t>，</w:t>
      </w:r>
      <w:r>
        <w:rPr>
          <w:rFonts w:hint="eastAsia" w:ascii="楷体" w:hAnsi="楷体" w:eastAsia="楷体" w:cs="楷体"/>
          <w:sz w:val="24"/>
          <w:highlight w:val="white"/>
        </w:rPr>
        <w:t>出现不符合下列情形之一时，作无效投标处理。</w:t>
      </w:r>
    </w:p>
    <w:p>
      <w:pPr>
        <w:widowControl/>
        <w:jc w:val="center"/>
        <w:rPr>
          <w:rFonts w:hint="eastAsia" w:ascii="楷体" w:hAnsi="楷体" w:eastAsia="楷体" w:cs="楷体"/>
          <w:sz w:val="24"/>
          <w:highlight w:val="white"/>
        </w:rPr>
      </w:pPr>
      <w:r>
        <w:rPr>
          <w:rFonts w:hint="eastAsia" w:ascii="楷体" w:hAnsi="楷体" w:eastAsia="楷体" w:cs="楷体"/>
          <w:b/>
          <w:bCs/>
          <w:sz w:val="24"/>
          <w:highlight w:val="white"/>
        </w:rPr>
        <w:t>符合性审查表</w:t>
      </w:r>
    </w:p>
    <w:tbl>
      <w:tblPr>
        <w:tblStyle w:val="14"/>
        <w:tblW w:w="5009" w:type="pct"/>
        <w:tblInd w:w="0"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1190"/>
        <w:gridCol w:w="7147"/>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序号</w:t>
            </w:r>
          </w:p>
        </w:tc>
        <w:tc>
          <w:tcPr>
            <w:tcW w:w="4285"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符合性审查内容</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1</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投标报价确定且不高于最高限价</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2</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投标文件已按要求盖章、签署</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3</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未发现属无效投标的其他情形（见表末说明）</w:t>
            </w:r>
          </w:p>
        </w:tc>
      </w:tr>
    </w:tbl>
    <w:p>
      <w:pPr>
        <w:tabs>
          <w:tab w:val="left" w:pos="0"/>
          <w:tab w:val="left" w:pos="720"/>
          <w:tab w:val="left" w:pos="1080"/>
        </w:tabs>
        <w:ind w:firstLine="480" w:firstLineChars="200"/>
        <w:rPr>
          <w:rFonts w:hint="eastAsia" w:ascii="楷体" w:hAnsi="楷体" w:eastAsia="楷体" w:cs="楷体"/>
          <w:b/>
          <w:sz w:val="24"/>
        </w:rPr>
      </w:pPr>
      <w:r>
        <w:rPr>
          <w:rFonts w:hint="eastAsia" w:ascii="楷体" w:hAnsi="楷体" w:eastAsia="楷体" w:cs="楷体"/>
          <w:bCs/>
          <w:sz w:val="24"/>
          <w:highlight w:val="white"/>
        </w:rPr>
        <w:t>说明：以下为属无效投标的其他情形：</w:t>
      </w:r>
    </w:p>
    <w:p>
      <w:pPr>
        <w:pStyle w:val="5"/>
        <w:tabs>
          <w:tab w:val="clear" w:pos="851"/>
        </w:tabs>
        <w:spacing w:line="240" w:lineRule="auto"/>
        <w:ind w:firstLine="480" w:firstLineChars="200"/>
        <w:jc w:val="left"/>
        <w:rPr>
          <w:rFonts w:hint="eastAsia" w:ascii="楷体" w:hAnsi="楷体" w:eastAsia="楷体" w:cs="楷体"/>
          <w:sz w:val="24"/>
        </w:rPr>
      </w:pPr>
      <w:bookmarkStart w:id="156" w:name="EBcbd2e3ca51c84175b3cd9a485234c7e4"/>
      <w:bookmarkEnd w:id="156"/>
      <w:r>
        <w:rPr>
          <w:rFonts w:hint="eastAsia" w:ascii="楷体" w:hAnsi="楷体" w:eastAsia="楷体" w:cs="楷体"/>
          <w:sz w:val="24"/>
          <w:highlight w:val="white"/>
        </w:rPr>
        <w:t>1、评标期间，投标人没有按评标委员会的要求提交法定代表人或其委托代理人签字的澄清、说明、补正或改变了投标文件的实质性内容的。</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2、投标文件提供虚假材料的。</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3、投标人以他人的名义投标、串通投标、以行贿手段谋取中标或者以其他弄虚作假方式投标的。</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4、投标人对采购人、采购代理机构、评标委员会及其工作人员施加影响，有碍招标公平、公正的。</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5、投标文件含有采购人不能接受的附加条件的。</w:t>
      </w:r>
    </w:p>
    <w:p>
      <w:pPr>
        <w:pStyle w:val="5"/>
        <w:tabs>
          <w:tab w:val="clear" w:pos="851"/>
        </w:tabs>
        <w:spacing w:line="240" w:lineRule="auto"/>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6、</w:t>
      </w:r>
      <w:r>
        <w:rPr>
          <w:rFonts w:hint="eastAsia" w:ascii="楷体" w:hAnsi="楷体" w:eastAsia="楷体" w:cs="楷体"/>
          <w:sz w:val="24"/>
        </w:rPr>
        <w:t>一家投标人递交两份不同投标方案的。</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7、法律、法规和招标文件规定的其他无效情形。</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2.2、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 xml:space="preserve">2.3、评标委员会进行符合性审查时发现供应商有实质性不响应招标文件的，应告知供应商并说明理由。 </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color w:val="000000"/>
          <w:sz w:val="24"/>
          <w:highlight w:val="white"/>
        </w:rPr>
        <w:t>2.4、不通过资格审查、符合性审查或投标无效的，不进入技术、商务和价格等的评分程序。</w:t>
      </w:r>
      <w:bookmarkStart w:id="157" w:name="EBdfc96280f5f74c8eafebc1d3e5c543d4"/>
      <w:r>
        <w:rPr>
          <w:rFonts w:hint="eastAsia" w:ascii="楷体" w:hAnsi="楷体" w:eastAsia="楷体" w:cs="楷体"/>
          <w:color w:val="000080"/>
          <w:sz w:val="24"/>
          <w:highlight w:val="white"/>
        </w:rPr>
        <w:t xml:space="preserve"> </w:t>
      </w:r>
      <w:bookmarkEnd w:id="157"/>
    </w:p>
    <w:p>
      <w:pPr>
        <w:tabs>
          <w:tab w:val="left" w:pos="0"/>
          <w:tab w:val="left" w:pos="720"/>
          <w:tab w:val="left" w:pos="1080"/>
        </w:tabs>
        <w:ind w:firstLine="480" w:firstLineChars="200"/>
        <w:jc w:val="left"/>
        <w:rPr>
          <w:rFonts w:hint="eastAsia" w:ascii="楷体" w:hAnsi="楷体" w:eastAsia="楷体" w:cs="楷体"/>
          <w:b/>
          <w:sz w:val="24"/>
        </w:rPr>
      </w:pPr>
      <w:r>
        <w:rPr>
          <w:rFonts w:hint="eastAsia" w:ascii="楷体" w:hAnsi="楷体" w:eastAsia="楷体" w:cs="楷体"/>
          <w:kern w:val="0"/>
          <w:sz w:val="24"/>
          <w:highlight w:val="white"/>
        </w:rPr>
        <w:t>3、技术评分</w:t>
      </w:r>
    </w:p>
    <w:p>
      <w:pPr>
        <w:tabs>
          <w:tab w:val="left" w:pos="0"/>
          <w:tab w:val="left" w:pos="720"/>
          <w:tab w:val="left" w:pos="1080"/>
        </w:tabs>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3.1、由评标委员会成员对所有有效投标文件的技术和服务响应方案进行审核和分析，填写《技术评分表》。</w:t>
      </w: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ind w:firstLine="480" w:firstLineChars="200"/>
        <w:jc w:val="left"/>
        <w:rPr>
          <w:rFonts w:hint="eastAsia" w:ascii="楷体" w:hAnsi="楷体" w:eastAsia="楷体" w:cs="楷体"/>
          <w:sz w:val="24"/>
          <w:highlight w:val="white"/>
        </w:rPr>
      </w:pPr>
    </w:p>
    <w:p>
      <w:pPr>
        <w:tabs>
          <w:tab w:val="left" w:pos="0"/>
          <w:tab w:val="left" w:pos="720"/>
          <w:tab w:val="left" w:pos="1080"/>
        </w:tabs>
        <w:jc w:val="center"/>
        <w:rPr>
          <w:rFonts w:hint="eastAsia" w:ascii="楷体" w:hAnsi="楷体" w:eastAsia="楷体" w:cs="楷体"/>
          <w:b/>
          <w:bCs/>
          <w:sz w:val="24"/>
          <w:highlight w:val="white"/>
        </w:rPr>
      </w:pPr>
      <w:r>
        <w:rPr>
          <w:rFonts w:hint="eastAsia" w:ascii="楷体" w:hAnsi="楷体" w:eastAsia="楷体" w:cs="楷体"/>
          <w:b/>
          <w:bCs/>
          <w:sz w:val="24"/>
          <w:highlight w:val="white"/>
        </w:rPr>
        <w:t>技术评分表</w:t>
      </w:r>
    </w:p>
    <w:tbl>
      <w:tblPr>
        <w:tblStyle w:val="14"/>
        <w:tblW w:w="5000" w:type="pct"/>
        <w:tblInd w:w="0"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1248"/>
        <w:gridCol w:w="2913"/>
        <w:gridCol w:w="4161"/>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50"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分值（40）</w:t>
            </w:r>
          </w:p>
        </w:tc>
        <w:tc>
          <w:tcPr>
            <w:tcW w:w="1750"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评审内容</w:t>
            </w:r>
          </w:p>
        </w:tc>
        <w:tc>
          <w:tcPr>
            <w:tcW w:w="2500"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评分细则</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20</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对采购需求的响应程度（投标服务方案）</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 xml:space="preserve">总体服务方案完全响应采购需求，方案科学合理，先进性高、亮点多、针对性强、专业性强，得20分； 总体服务方案比较响应采购需求，方案比较科学合理，先进性较高、亮点较多，具备较强的针对性、专业性，得15分； 总体服务方案基本响应采购需求，方案基本科学合理，亮点少，针对性、专业性一般，得10分； 总体服务方案基本响应采购需求，但方案不够合理，无亮点，无针对性，得5分；不提供方案的或其他情况，得0分。 </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10</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服务工作目标</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 xml:space="preserve">服务工作目标清晰、明确、详细，得10分； 服务工作目标比较清晰、明确、详细，得7分； 服务工作目标基本清晰、明确、详细，得5分；不提供或其他情况的，得0分。 </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10</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服务保障能力</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投标人对服务保障能力目标清晰、明确、详细，得10分；保障能力目标比较清晰、明确、详细，得7分；保障能力目标基本清晰、明确、详细，得5分；不提供或其他情况的，得0分。</w:t>
            </w:r>
          </w:p>
        </w:tc>
      </w:tr>
    </w:tbl>
    <w:p>
      <w:pPr>
        <w:rPr>
          <w:rFonts w:hint="eastAsia" w:ascii="楷体" w:hAnsi="楷体" w:eastAsia="楷体" w:cs="楷体"/>
          <w:sz w:val="24"/>
          <w:highlight w:val="red"/>
        </w:rPr>
      </w:pPr>
    </w:p>
    <w:p>
      <w:pPr>
        <w:ind w:firstLine="480" w:firstLineChars="200"/>
        <w:rPr>
          <w:rFonts w:hint="eastAsia" w:ascii="楷体" w:hAnsi="楷体" w:eastAsia="楷体" w:cs="楷体"/>
          <w:sz w:val="24"/>
        </w:rPr>
      </w:pPr>
      <w:r>
        <w:rPr>
          <w:rFonts w:hint="eastAsia" w:ascii="楷体" w:hAnsi="楷体" w:eastAsia="楷体" w:cs="楷体"/>
          <w:sz w:val="24"/>
          <w:highlight w:val="white"/>
        </w:rPr>
        <w:t>3.2、将所有评标委员会成员所评各项的得分进行算术平均（按四舍五入原则精确到小数点后三位），再汇总得出该投标人的技术评分（按四舍五入原则精确到小数点后两位）。</w:t>
      </w:r>
    </w:p>
    <w:p>
      <w:pPr>
        <w:ind w:firstLine="480" w:firstLineChars="200"/>
        <w:jc w:val="left"/>
        <w:rPr>
          <w:rFonts w:hint="eastAsia" w:ascii="楷体" w:hAnsi="楷体" w:eastAsia="楷体" w:cs="楷体"/>
          <w:b/>
          <w:sz w:val="24"/>
        </w:rPr>
      </w:pPr>
      <w:r>
        <w:rPr>
          <w:rFonts w:hint="eastAsia" w:ascii="楷体" w:hAnsi="楷体" w:eastAsia="楷体" w:cs="楷体"/>
          <w:sz w:val="24"/>
          <w:highlight w:val="white"/>
        </w:rPr>
        <w:t>4、商务评分</w:t>
      </w:r>
      <w:r>
        <w:rPr>
          <w:rFonts w:hint="eastAsia" w:ascii="楷体" w:hAnsi="楷体" w:eastAsia="楷体" w:cs="楷体"/>
          <w:b/>
          <w:sz w:val="24"/>
          <w:highlight w:val="white"/>
        </w:rPr>
        <w:t xml:space="preserve">  </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4.1、由评标委员会成员对所有有效投标文件的商务条件进行审核和评价，填写《商务评分表》。</w:t>
      </w:r>
    </w:p>
    <w:p>
      <w:pPr>
        <w:tabs>
          <w:tab w:val="left" w:pos="0"/>
          <w:tab w:val="left" w:pos="720"/>
          <w:tab w:val="left" w:pos="1080"/>
        </w:tabs>
        <w:jc w:val="center"/>
        <w:rPr>
          <w:rFonts w:hint="eastAsia" w:ascii="楷体" w:hAnsi="楷体" w:eastAsia="楷体" w:cs="楷体"/>
          <w:b/>
          <w:bCs/>
          <w:sz w:val="24"/>
          <w:highlight w:val="white"/>
        </w:rPr>
      </w:pPr>
      <w:r>
        <w:rPr>
          <w:rFonts w:hint="eastAsia" w:ascii="楷体" w:hAnsi="楷体" w:eastAsia="楷体" w:cs="楷体"/>
          <w:b/>
          <w:bCs/>
          <w:sz w:val="24"/>
          <w:highlight w:val="white"/>
        </w:rPr>
        <w:t>商务评分表</w:t>
      </w:r>
    </w:p>
    <w:tbl>
      <w:tblPr>
        <w:tblStyle w:val="14"/>
        <w:tblW w:w="5000" w:type="pct"/>
        <w:tblInd w:w="0" w:type="dxa"/>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1248"/>
        <w:gridCol w:w="2913"/>
        <w:gridCol w:w="4161"/>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750"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分值（30）</w:t>
            </w:r>
          </w:p>
        </w:tc>
        <w:tc>
          <w:tcPr>
            <w:tcW w:w="1750"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评审内容</w:t>
            </w:r>
          </w:p>
        </w:tc>
        <w:tc>
          <w:tcPr>
            <w:tcW w:w="2500" w:type="pct"/>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评分细则</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15</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同类项目业绩</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投标人自2018年12月1日（以合同签订时间为准）至投标截止时间止的同类类项目业绩（提供合同扫描件），每个得5分，最高得15分，不符合要求或不提供的不得分。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c>
          <w:tcPr>
            <w:tcW w:w="0" w:type="auto"/>
            <w:tcBorders>
              <w:top w:val="single" w:color="auto" w:sz="6" w:space="0"/>
              <w:left w:val="single" w:color="auto" w:sz="6" w:space="0"/>
              <w:bottom w:val="single" w:color="auto" w:sz="6" w:space="0"/>
              <w:right w:val="single" w:color="auto" w:sz="6" w:space="0"/>
            </w:tcBorders>
            <w:vAlign w:val="center"/>
          </w:tcPr>
          <w:p>
            <w:pPr>
              <w:jc w:val="center"/>
              <w:rPr>
                <w:rFonts w:hint="eastAsia" w:ascii="楷体" w:hAnsi="楷体" w:eastAsia="楷体" w:cs="楷体"/>
                <w:sz w:val="24"/>
              </w:rPr>
            </w:pPr>
            <w:r>
              <w:rPr>
                <w:rFonts w:hint="eastAsia" w:ascii="楷体" w:hAnsi="楷体" w:eastAsia="楷体" w:cs="楷体"/>
                <w:sz w:val="24"/>
              </w:rPr>
              <w:t>15</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同类项目业绩的客户评价情况</w:t>
            </w:r>
          </w:p>
        </w:tc>
        <w:tc>
          <w:tcPr>
            <w:tcW w:w="0" w:type="auto"/>
            <w:tcBorders>
              <w:top w:val="single" w:color="auto" w:sz="6" w:space="0"/>
              <w:left w:val="single" w:color="auto" w:sz="6" w:space="0"/>
              <w:bottom w:val="single" w:color="auto" w:sz="6" w:space="0"/>
              <w:right w:val="single" w:color="auto" w:sz="6" w:space="0"/>
            </w:tcBorders>
            <w:vAlign w:val="center"/>
          </w:tcPr>
          <w:p>
            <w:pPr>
              <w:jc w:val="left"/>
              <w:rPr>
                <w:rFonts w:hint="eastAsia" w:ascii="楷体" w:hAnsi="楷体" w:eastAsia="楷体" w:cs="楷体"/>
                <w:sz w:val="24"/>
              </w:rPr>
            </w:pPr>
            <w:r>
              <w:rPr>
                <w:rFonts w:hint="eastAsia" w:ascii="楷体" w:hAnsi="楷体" w:eastAsia="楷体" w:cs="楷体"/>
                <w:sz w:val="24"/>
              </w:rPr>
              <w:t>投标人前项同类项目业绩的客户评价为满意或同级别评价的，每个得5分，最高得15分。（提供相关证明扫描件）不符合要求或不提供的不得分。</w:t>
            </w:r>
          </w:p>
        </w:tc>
      </w:tr>
    </w:tbl>
    <w:p>
      <w:pPr>
        <w:tabs>
          <w:tab w:val="left" w:pos="0"/>
          <w:tab w:val="left" w:pos="720"/>
          <w:tab w:val="left" w:pos="1080"/>
        </w:tabs>
        <w:rPr>
          <w:rFonts w:hint="eastAsia" w:ascii="楷体" w:hAnsi="楷体" w:eastAsia="楷体" w:cs="楷体"/>
          <w:sz w:val="24"/>
          <w:highlight w:val="white"/>
        </w:rPr>
      </w:pPr>
    </w:p>
    <w:p>
      <w:pPr>
        <w:tabs>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说明：上表所列为投标人的商务条件。请投标人严格按照要求提交相关证明材料，否则有可能影响评审结果。</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4.2、将所有评标委员会成员所评各项的得分进行算术平均（按四舍五入原则精确到小数点后三位），再汇总得出该投标人的商务评分（按四舍五入原则精确到小数点后两位）。</w:t>
      </w:r>
    </w:p>
    <w:p>
      <w:pPr>
        <w:tabs>
          <w:tab w:val="left" w:pos="0"/>
          <w:tab w:val="left" w:pos="720"/>
          <w:tab w:val="left" w:pos="1080"/>
        </w:tabs>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5、价格评审</w:t>
      </w:r>
    </w:p>
    <w:p>
      <w:pPr>
        <w:tabs>
          <w:tab w:val="left" w:pos="0"/>
          <w:tab w:val="left" w:pos="720"/>
          <w:tab w:val="left" w:pos="1080"/>
        </w:tabs>
        <w:ind w:firstLine="480" w:firstLineChars="200"/>
        <w:jc w:val="left"/>
        <w:rPr>
          <w:rFonts w:hint="eastAsia" w:ascii="楷体" w:hAnsi="楷体" w:eastAsia="楷体" w:cs="楷体"/>
          <w:sz w:val="24"/>
        </w:rPr>
      </w:pPr>
      <w:r>
        <w:rPr>
          <w:rFonts w:hint="eastAsia" w:ascii="楷体" w:hAnsi="楷体" w:eastAsia="楷体" w:cs="楷体"/>
          <w:sz w:val="24"/>
          <w:highlight w:val="white"/>
        </w:rPr>
        <w:t>5.1、价格核准：评标委员会成员对有效投标人的详细报价进行复核，看其是否有计算错误或供货范围上的错误，修正错误的原则参见本部分的第三条第2点。</w:t>
      </w:r>
    </w:p>
    <w:p>
      <w:pPr>
        <w:ind w:firstLine="480" w:firstLineChars="200"/>
        <w:jc w:val="left"/>
        <w:rPr>
          <w:rFonts w:hint="eastAsia" w:ascii="楷体" w:hAnsi="楷体" w:eastAsia="楷体" w:cs="楷体"/>
          <w:sz w:val="24"/>
        </w:rPr>
      </w:pPr>
      <w:r>
        <w:rPr>
          <w:rFonts w:hint="eastAsia" w:ascii="楷体" w:hAnsi="楷体" w:eastAsia="楷体" w:cs="楷体"/>
          <w:sz w:val="24"/>
        </w:rPr>
        <w:t>5.2、计算价格评分：价格分统一采用低价优先法计算，各有效投标人的评标价（指投标报价经修正后的价格）中，取最低价为评标基准价，其价格分为满分。其他投标人的价格分统一按照下列公式计算：</w:t>
      </w:r>
    </w:p>
    <w:p>
      <w:pPr>
        <w:ind w:firstLine="480" w:firstLineChars="200"/>
        <w:jc w:val="left"/>
        <w:rPr>
          <w:rFonts w:hint="eastAsia" w:ascii="楷体" w:hAnsi="楷体" w:eastAsia="楷体" w:cs="楷体"/>
          <w:sz w:val="24"/>
          <w:highlight w:val="magenta"/>
        </w:rPr>
      </w:pPr>
      <w:r>
        <w:rPr>
          <w:rFonts w:hint="eastAsia" w:ascii="楷体" w:hAnsi="楷体" w:eastAsia="楷体" w:cs="楷体"/>
          <w:sz w:val="24"/>
        </w:rPr>
        <w:t>价格评分=（评标基准价／评标价）×30分</w:t>
      </w:r>
    </w:p>
    <w:p>
      <w:pPr>
        <w:ind w:firstLine="480" w:firstLineChars="200"/>
        <w:jc w:val="left"/>
        <w:rPr>
          <w:rFonts w:hint="eastAsia" w:ascii="楷体" w:hAnsi="楷体" w:eastAsia="楷体" w:cs="楷体"/>
          <w:sz w:val="24"/>
        </w:rPr>
      </w:pPr>
      <w:r>
        <w:rPr>
          <w:rFonts w:hint="eastAsia" w:ascii="楷体" w:hAnsi="楷体" w:eastAsia="楷体" w:cs="楷体"/>
          <w:sz w:val="24"/>
        </w:rPr>
        <w:t>5.3、评标价仅用于计算价格评分，中标金额以实际投标总报价为准。</w:t>
      </w:r>
      <w:bookmarkStart w:id="158" w:name="EBc42c61ac6eca404783aaeee3850c358d"/>
      <w:r>
        <w:rPr>
          <w:rFonts w:hint="eastAsia" w:ascii="楷体" w:hAnsi="楷体" w:eastAsia="楷体" w:cs="楷体"/>
          <w:sz w:val="24"/>
        </w:rPr>
        <w:t xml:space="preserve"> </w:t>
      </w:r>
      <w:bookmarkEnd w:id="158"/>
      <w:bookmarkStart w:id="159" w:name="EB6f9950156d0e4cea992390e71c5f6b3e"/>
      <w:r>
        <w:rPr>
          <w:rFonts w:hint="eastAsia" w:ascii="楷体" w:hAnsi="楷体" w:eastAsia="楷体" w:cs="楷体"/>
          <w:sz w:val="24"/>
        </w:rPr>
        <w:t xml:space="preserve"> </w:t>
      </w:r>
      <w:bookmarkEnd w:id="159"/>
    </w:p>
    <w:p>
      <w:pPr>
        <w:ind w:firstLine="480" w:firstLineChars="200"/>
        <w:jc w:val="left"/>
        <w:rPr>
          <w:rFonts w:hint="eastAsia" w:ascii="楷体" w:hAnsi="楷体" w:eastAsia="楷体" w:cs="楷体"/>
          <w:sz w:val="24"/>
        </w:rPr>
      </w:pPr>
      <w:r>
        <w:rPr>
          <w:rFonts w:hint="eastAsia" w:ascii="楷体" w:hAnsi="楷体" w:eastAsia="楷体" w:cs="楷体"/>
          <w:sz w:val="24"/>
        </w:rPr>
        <w:t>6、综合评分的计算</w:t>
      </w:r>
    </w:p>
    <w:p>
      <w:pPr>
        <w:ind w:firstLine="480" w:firstLineChars="200"/>
        <w:jc w:val="left"/>
        <w:rPr>
          <w:rFonts w:hint="eastAsia" w:ascii="楷体" w:hAnsi="楷体" w:eastAsia="楷体" w:cs="楷体"/>
          <w:sz w:val="24"/>
        </w:rPr>
      </w:pPr>
      <w:bookmarkStart w:id="160" w:name="EB067d940baba349e582b898bfd18c9719"/>
      <w:r>
        <w:rPr>
          <w:rFonts w:hint="eastAsia" w:ascii="楷体" w:hAnsi="楷体" w:eastAsia="楷体" w:cs="楷体"/>
          <w:sz w:val="24"/>
        </w:rPr>
        <w:t>6.1、综合评分=技术评分+商务评分+价格评分</w:t>
      </w:r>
      <w:r>
        <w:rPr>
          <w:rFonts w:hint="eastAsia" w:ascii="楷体" w:hAnsi="楷体" w:eastAsia="楷体" w:cs="楷体"/>
          <w:color w:val="000080"/>
          <w:sz w:val="24"/>
          <w:highlight w:val="white"/>
        </w:rPr>
        <w:t xml:space="preserve"> </w:t>
      </w:r>
      <w:bookmarkEnd w:id="160"/>
    </w:p>
    <w:p>
      <w:pPr>
        <w:tabs>
          <w:tab w:val="left" w:pos="720"/>
        </w:tabs>
        <w:ind w:firstLine="480" w:firstLineChars="200"/>
        <w:jc w:val="left"/>
        <w:rPr>
          <w:rStyle w:val="26"/>
          <w:rFonts w:hint="eastAsia" w:ascii="楷体" w:hAnsi="楷体" w:eastAsia="楷体" w:cs="楷体"/>
          <w:sz w:val="24"/>
          <w:szCs w:val="24"/>
        </w:rPr>
      </w:pPr>
      <w:bookmarkStart w:id="161" w:name="EB42fa6b65a45d4e4db22dc9ffb8f38a6b"/>
      <w:r>
        <w:rPr>
          <w:rFonts w:hint="eastAsia" w:ascii="楷体" w:hAnsi="楷体" w:eastAsia="楷体" w:cs="楷体"/>
          <w:sz w:val="24"/>
        </w:rPr>
        <w:t>6.2、各项得分按四舍五入原则精确到小数点后两位。将综合评分由高到低顺序排列。综合评分相同的，按评标价由低到高顺序排列；综合评分相同，且评标价相同的，按技术评分由高到低顺序排列。综合评分相同，且评标价和技术评分均相同的，名次由评标委员会抽签决定。</w:t>
      </w:r>
      <w:r>
        <w:rPr>
          <w:rFonts w:hint="eastAsia" w:ascii="楷体" w:hAnsi="楷体" w:eastAsia="楷体" w:cs="楷体"/>
          <w:color w:val="000080"/>
          <w:sz w:val="24"/>
          <w:highlight w:val="white"/>
        </w:rPr>
        <w:t xml:space="preserve"> </w:t>
      </w:r>
      <w:bookmarkEnd w:id="161"/>
      <w:r>
        <w:rPr>
          <w:rFonts w:hint="eastAsia" w:ascii="楷体" w:hAnsi="楷体" w:eastAsia="楷体" w:cs="楷体"/>
          <w:sz w:val="24"/>
          <w:highlight w:val="white"/>
        </w:rPr>
        <w:t xml:space="preserve"> </w:t>
      </w:r>
    </w:p>
    <w:p>
      <w:pPr>
        <w:tabs>
          <w:tab w:val="left" w:pos="720"/>
        </w:tabs>
        <w:ind w:firstLine="480" w:firstLineChars="200"/>
        <w:jc w:val="left"/>
        <w:rPr>
          <w:rFonts w:hint="eastAsia" w:ascii="楷体" w:hAnsi="楷体" w:eastAsia="楷体" w:cs="楷体"/>
          <w:sz w:val="24"/>
        </w:rPr>
      </w:pPr>
      <w:r>
        <w:rPr>
          <w:rFonts w:hint="eastAsia" w:ascii="楷体" w:hAnsi="楷体" w:eastAsia="楷体" w:cs="楷体"/>
          <w:sz w:val="24"/>
        </w:rPr>
        <w:t>7、中标候选人推荐</w:t>
      </w:r>
    </w:p>
    <w:p>
      <w:pPr>
        <w:tabs>
          <w:tab w:val="left" w:pos="720"/>
        </w:tabs>
        <w:ind w:firstLine="480" w:firstLineChars="200"/>
        <w:jc w:val="left"/>
        <w:rPr>
          <w:rFonts w:hint="eastAsia" w:ascii="楷体" w:hAnsi="楷体" w:eastAsia="楷体" w:cs="楷体"/>
          <w:sz w:val="24"/>
        </w:rPr>
      </w:pPr>
      <w:r>
        <w:rPr>
          <w:rFonts w:hint="eastAsia" w:ascii="楷体" w:hAnsi="楷体" w:eastAsia="楷体" w:cs="楷体"/>
          <w:sz w:val="24"/>
        </w:rPr>
        <w:t> 评标委员会按上述排列向采购人推荐三名中标候选人。</w:t>
      </w:r>
    </w:p>
    <w:p>
      <w:pPr>
        <w:jc w:val="center"/>
        <w:outlineLvl w:val="1"/>
        <w:rPr>
          <w:rFonts w:hint="eastAsia" w:ascii="楷体" w:hAnsi="楷体" w:eastAsia="楷体" w:cs="楷体"/>
          <w:b/>
          <w:sz w:val="24"/>
        </w:rPr>
      </w:pPr>
      <w:bookmarkStart w:id="162" w:name="_Toc101771377"/>
      <w:bookmarkStart w:id="163" w:name="_Toc101843130"/>
      <w:bookmarkStart w:id="164" w:name="_Toc401575156"/>
      <w:bookmarkStart w:id="165" w:name="_Toc101951268"/>
      <w:bookmarkStart w:id="166" w:name="_Toc403491572"/>
      <w:bookmarkStart w:id="167" w:name="_Toc101775130"/>
      <w:r>
        <w:rPr>
          <w:rFonts w:hint="eastAsia" w:ascii="楷体" w:hAnsi="楷体" w:eastAsia="楷体" w:cs="楷体"/>
          <w:b/>
          <w:sz w:val="24"/>
          <w:highlight w:val="white"/>
        </w:rPr>
        <w:t>五  项目废标处理</w:t>
      </w:r>
      <w:bookmarkEnd w:id="162"/>
      <w:bookmarkEnd w:id="163"/>
      <w:bookmarkEnd w:id="164"/>
      <w:bookmarkEnd w:id="165"/>
      <w:bookmarkEnd w:id="166"/>
      <w:bookmarkEnd w:id="167"/>
    </w:p>
    <w:p>
      <w:pPr>
        <w:ind w:firstLine="480" w:firstLineChars="200"/>
        <w:rPr>
          <w:rFonts w:hint="eastAsia" w:ascii="楷体" w:hAnsi="楷体" w:eastAsia="楷体" w:cs="楷体"/>
          <w:sz w:val="24"/>
        </w:rPr>
      </w:pPr>
      <w:r>
        <w:rPr>
          <w:rFonts w:hint="eastAsia" w:ascii="楷体" w:hAnsi="楷体" w:eastAsia="楷体" w:cs="楷体"/>
          <w:sz w:val="24"/>
          <w:highlight w:val="white"/>
        </w:rPr>
        <w:t>本项目出现下列情况将作废标处理：</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1、符合资格条件的投标人或者对招标文件作实质响应的有效投标人不足三家的</w:t>
      </w:r>
      <w:bookmarkStart w:id="168" w:name="EB7e063bb4e89549d28121d2674922c4fe"/>
      <w:bookmarkEnd w:id="168"/>
      <w:r>
        <w:rPr>
          <w:rFonts w:hint="eastAsia" w:ascii="楷体" w:hAnsi="楷体" w:eastAsia="楷体" w:cs="楷体"/>
          <w:sz w:val="24"/>
          <w:highlight w:val="white"/>
        </w:rPr>
        <w:t>。</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2、出现影响采购公正的违法、违规行为的。</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 xml:space="preserve">3、投标人的报价均超过了采购预算，采购人不能支付的。 </w:t>
      </w:r>
    </w:p>
    <w:p>
      <w:pPr>
        <w:pStyle w:val="5"/>
        <w:tabs>
          <w:tab w:val="clear" w:pos="851"/>
        </w:tabs>
        <w:spacing w:line="240" w:lineRule="auto"/>
        <w:ind w:firstLine="480" w:firstLineChars="200"/>
        <w:rPr>
          <w:rFonts w:hint="eastAsia" w:ascii="楷体" w:hAnsi="楷体" w:eastAsia="楷体" w:cs="楷体"/>
          <w:sz w:val="24"/>
        </w:rPr>
      </w:pPr>
      <w:r>
        <w:rPr>
          <w:rFonts w:hint="eastAsia" w:ascii="楷体" w:hAnsi="楷体" w:eastAsia="楷体" w:cs="楷体"/>
          <w:sz w:val="24"/>
          <w:highlight w:val="white"/>
        </w:rPr>
        <w:t>4、因重大变故，采购任务取消的。</w:t>
      </w:r>
    </w:p>
    <w:p>
      <w:pPr>
        <w:pStyle w:val="5"/>
        <w:tabs>
          <w:tab w:val="clear" w:pos="851"/>
        </w:tabs>
        <w:spacing w:line="240" w:lineRule="auto"/>
        <w:ind w:left="425"/>
        <w:rPr>
          <w:rFonts w:hint="eastAsia" w:ascii="楷体" w:hAnsi="楷体" w:eastAsia="楷体" w:cs="楷体"/>
          <w:sz w:val="24"/>
        </w:rPr>
      </w:pPr>
      <w:bookmarkStart w:id="169" w:name="EB5af219300a204caa8842f474a8148aae"/>
      <w:r>
        <w:rPr>
          <w:rFonts w:hint="eastAsia" w:ascii="楷体" w:hAnsi="楷体" w:eastAsia="楷体" w:cs="楷体"/>
          <w:color w:val="000000"/>
          <w:sz w:val="24"/>
          <w:highlight w:val="white"/>
        </w:rPr>
        <w:t xml:space="preserve"> </w:t>
      </w:r>
      <w:bookmarkEnd w:id="169"/>
      <w:r>
        <w:rPr>
          <w:rFonts w:hint="eastAsia" w:ascii="楷体" w:hAnsi="楷体" w:eastAsia="楷体" w:cs="楷体"/>
          <w:sz w:val="24"/>
          <w:highlight w:val="white"/>
        </w:rPr>
        <w:t xml:space="preserve"> </w:t>
      </w:r>
    </w:p>
    <w:bookmarkEnd w:id="138"/>
    <w:bookmarkEnd w:id="139"/>
    <w:bookmarkEnd w:id="140"/>
    <w:p>
      <w:pPr>
        <w:jc w:val="center"/>
        <w:outlineLvl w:val="1"/>
        <w:rPr>
          <w:rFonts w:hint="eastAsia" w:ascii="楷体" w:hAnsi="楷体" w:eastAsia="楷体" w:cs="楷体"/>
          <w:b/>
          <w:sz w:val="24"/>
        </w:rPr>
      </w:pPr>
      <w:bookmarkStart w:id="170" w:name="_Toc101775131"/>
      <w:bookmarkStart w:id="171" w:name="_Toc42394670"/>
      <w:bookmarkStart w:id="172" w:name="_Toc98579066"/>
      <w:bookmarkStart w:id="173" w:name="_Toc42394514"/>
      <w:bookmarkStart w:id="174" w:name="_Toc101771378"/>
      <w:bookmarkStart w:id="175" w:name="_Toc98580290"/>
      <w:bookmarkStart w:id="176" w:name="_Toc101951269"/>
      <w:bookmarkStart w:id="177" w:name="_Toc41723933"/>
      <w:bookmarkStart w:id="178" w:name="_Toc50276154"/>
      <w:bookmarkStart w:id="179" w:name="_Toc101843131"/>
      <w:bookmarkStart w:id="180" w:name="_Toc41884703"/>
      <w:bookmarkStart w:id="181" w:name="_Toc98579008"/>
      <w:bookmarkStart w:id="182" w:name="_Toc42313169"/>
      <w:bookmarkStart w:id="183" w:name="_Toc401575157"/>
      <w:bookmarkStart w:id="184" w:name="_Toc98579607"/>
      <w:bookmarkStart w:id="185" w:name="_Toc403491573"/>
      <w:r>
        <w:rPr>
          <w:rFonts w:hint="eastAsia" w:ascii="楷体" w:hAnsi="楷体" w:eastAsia="楷体" w:cs="楷体"/>
          <w:b/>
          <w:sz w:val="24"/>
          <w:highlight w:val="white"/>
        </w:rPr>
        <w:t>六  定标</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5"/>
        <w:tabs>
          <w:tab w:val="clear" w:pos="851"/>
        </w:tabs>
        <w:spacing w:line="240" w:lineRule="auto"/>
        <w:ind w:firstLine="480" w:firstLineChars="200"/>
        <w:jc w:val="left"/>
        <w:rPr>
          <w:rFonts w:hint="eastAsia" w:ascii="楷体" w:hAnsi="楷体" w:eastAsia="楷体" w:cs="楷体"/>
          <w:sz w:val="24"/>
          <w:highlight w:val="white"/>
        </w:rPr>
      </w:pPr>
      <w:r>
        <w:rPr>
          <w:rFonts w:hint="eastAsia" w:ascii="楷体" w:hAnsi="楷体" w:eastAsia="楷体" w:cs="楷体"/>
          <w:sz w:val="24"/>
          <w:highlight w:val="white"/>
        </w:rPr>
        <w:t>1、采购代理机构应当在评标结束后2个工作日内将评标报告送采购人，采购人应当自收到评标报告之日起5个工作日内，在评标报告确定的中标候选人名单中按顺序确定中标人。</w:t>
      </w:r>
    </w:p>
    <w:p>
      <w:pPr>
        <w:pStyle w:val="4"/>
        <w:rPr>
          <w:rFonts w:hint="eastAsia" w:ascii="楷体" w:hAnsi="楷体" w:eastAsia="楷体" w:cs="楷体"/>
          <w:sz w:val="24"/>
          <w:highlight w:val="white"/>
        </w:rPr>
      </w:pPr>
      <w:r>
        <w:rPr>
          <w:rFonts w:hint="eastAsia" w:ascii="楷体" w:hAnsi="楷体" w:eastAsia="楷体" w:cs="楷体"/>
          <w:sz w:val="24"/>
          <w:highlight w:val="white"/>
        </w:rPr>
        <w:t>2、采购结果确认后，采购代理机构将中标结果在采购信息发布网站上进行公告。不在中标名单之列者即为落标人，采购代理机构不再以其它方式另行通知。</w:t>
      </w:r>
    </w:p>
    <w:p>
      <w:pPr>
        <w:pStyle w:val="4"/>
        <w:rPr>
          <w:rFonts w:hint="eastAsia" w:ascii="楷体" w:hAnsi="楷体" w:eastAsia="楷体" w:cs="楷体"/>
          <w:sz w:val="24"/>
          <w:highlight w:val="white"/>
        </w:rPr>
      </w:pPr>
      <w:r>
        <w:rPr>
          <w:rFonts w:hint="eastAsia" w:ascii="楷体" w:hAnsi="楷体" w:eastAsia="楷体" w:cs="楷体"/>
          <w:sz w:val="24"/>
          <w:highlight w:val="white"/>
        </w:rPr>
        <w:t>3、</w:t>
      </w:r>
      <w:bookmarkStart w:id="186" w:name="EB5f19c26206d14befbb1868a3479a49a6"/>
      <w:r>
        <w:rPr>
          <w:rFonts w:hint="eastAsia" w:ascii="楷体" w:hAnsi="楷体" w:eastAsia="楷体" w:cs="楷体"/>
          <w:color w:val="000000"/>
          <w:sz w:val="24"/>
          <w:highlight w:val="white"/>
        </w:rPr>
        <w:t>中标结果公告后，中标人须向</w:t>
      </w:r>
      <w:r>
        <w:rPr>
          <w:rFonts w:hint="eastAsia" w:ascii="楷体" w:hAnsi="楷体" w:eastAsia="楷体" w:cs="楷体"/>
          <w:sz w:val="24"/>
          <w:highlight w:val="white"/>
        </w:rPr>
        <w:t>采购代理机构</w:t>
      </w:r>
      <w:r>
        <w:rPr>
          <w:rFonts w:hint="eastAsia" w:ascii="楷体" w:hAnsi="楷体" w:eastAsia="楷体" w:cs="楷体"/>
          <w:color w:val="000000"/>
          <w:sz w:val="24"/>
          <w:highlight w:val="white"/>
        </w:rPr>
        <w:t>支付服务费。</w:t>
      </w:r>
      <w:bookmarkEnd w:id="186"/>
      <w:r>
        <w:rPr>
          <w:rFonts w:hint="eastAsia" w:ascii="楷体" w:hAnsi="楷体" w:eastAsia="楷体" w:cs="楷体"/>
          <w:color w:val="000000"/>
          <w:sz w:val="24"/>
          <w:highlight w:val="white"/>
        </w:rPr>
        <w:t>中标人</w:t>
      </w:r>
      <w:r>
        <w:rPr>
          <w:rFonts w:hint="eastAsia" w:ascii="楷体" w:hAnsi="楷体" w:eastAsia="楷体" w:cs="楷体"/>
          <w:sz w:val="24"/>
          <w:highlight w:val="white"/>
        </w:rPr>
        <w:t>支付完成后，采购代理机构发出《中标通知书》。《中标通知书》将作为授予合同资格的唯一合法依据。</w:t>
      </w:r>
    </w:p>
    <w:p>
      <w:pPr>
        <w:pStyle w:val="4"/>
        <w:rPr>
          <w:rFonts w:hint="eastAsia" w:ascii="楷体" w:hAnsi="楷体" w:eastAsia="楷体" w:cs="楷体"/>
          <w:sz w:val="24"/>
          <w:highlight w:val="white"/>
        </w:rPr>
      </w:pPr>
      <w:r>
        <w:rPr>
          <w:rFonts w:hint="eastAsia" w:ascii="楷体" w:hAnsi="楷体" w:eastAsia="楷体" w:cs="楷体"/>
          <w:sz w:val="24"/>
          <w:highlight w:val="white"/>
        </w:rPr>
        <w:t>4、中标人放弃中标的，应当依法承担相应的法律责任。</w:t>
      </w:r>
    </w:p>
    <w:p>
      <w:pPr>
        <w:pStyle w:val="4"/>
        <w:rPr>
          <w:rFonts w:hint="eastAsia" w:ascii="楷体" w:hAnsi="楷体" w:eastAsia="楷体" w:cs="楷体"/>
          <w:sz w:val="24"/>
          <w:highlight w:val="white"/>
        </w:rPr>
      </w:pPr>
    </w:p>
    <w:p>
      <w:pPr>
        <w:jc w:val="center"/>
        <w:outlineLvl w:val="1"/>
        <w:rPr>
          <w:rFonts w:hint="eastAsia" w:ascii="楷体" w:hAnsi="楷体" w:eastAsia="楷体" w:cs="楷体"/>
          <w:b/>
          <w:sz w:val="24"/>
        </w:rPr>
      </w:pPr>
      <w:bookmarkStart w:id="187" w:name="_Toc98580291"/>
      <w:bookmarkStart w:id="188" w:name="_Toc42394515"/>
      <w:bookmarkStart w:id="189" w:name="_Toc101775132"/>
      <w:bookmarkStart w:id="190" w:name="_Toc101771379"/>
      <w:bookmarkStart w:id="191" w:name="_Toc98579009"/>
      <w:bookmarkStart w:id="192" w:name="_Toc98579608"/>
      <w:bookmarkStart w:id="193" w:name="_Toc101951270"/>
      <w:bookmarkStart w:id="194" w:name="_Toc41884704"/>
      <w:bookmarkStart w:id="195" w:name="_Toc401575158"/>
      <w:bookmarkStart w:id="196" w:name="_Toc42394671"/>
      <w:bookmarkStart w:id="197" w:name="_Toc403491574"/>
      <w:bookmarkStart w:id="198" w:name="_Toc41723934"/>
      <w:bookmarkStart w:id="199" w:name="_Toc42313170"/>
      <w:bookmarkStart w:id="200" w:name="_Toc98579067"/>
      <w:bookmarkStart w:id="201" w:name="_Toc50276155"/>
      <w:bookmarkStart w:id="202" w:name="_Toc101843132"/>
      <w:r>
        <w:rPr>
          <w:rFonts w:hint="eastAsia" w:ascii="楷体" w:hAnsi="楷体" w:eastAsia="楷体" w:cs="楷体"/>
          <w:b/>
          <w:sz w:val="24"/>
          <w:highlight w:val="white"/>
        </w:rPr>
        <w:t>七  签约</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1、采购人应当自《中标通知书》发出之日起三十日（第二部分采购需求有相应约定的从其约定）内，按照招标文件和中标人投标文件的约定，与中标人签订书面合同。所签订的合同不得对招标文件和中标人投标文件作实质性修改。</w:t>
      </w:r>
    </w:p>
    <w:p>
      <w:pPr>
        <w:pStyle w:val="5"/>
        <w:tabs>
          <w:tab w:val="clear" w:pos="851"/>
        </w:tabs>
        <w:spacing w:line="240" w:lineRule="auto"/>
        <w:ind w:firstLine="480" w:firstLineChars="200"/>
        <w:jc w:val="left"/>
        <w:rPr>
          <w:rFonts w:hint="eastAsia" w:ascii="楷体" w:hAnsi="楷体" w:eastAsia="楷体" w:cs="楷体"/>
          <w:sz w:val="24"/>
        </w:rPr>
      </w:pPr>
      <w:r>
        <w:rPr>
          <w:rFonts w:hint="eastAsia" w:ascii="楷体" w:hAnsi="楷体" w:eastAsia="楷体" w:cs="楷体"/>
          <w:sz w:val="24"/>
          <w:highlight w:val="white"/>
        </w:rPr>
        <w:t>2、采购人不得提出试用合格等任何不合理的要求作为签订合同的条件，且不得与中标人私下订立背离合同实质性内容的协议。</w:t>
      </w:r>
    </w:p>
    <w:p>
      <w:pPr>
        <w:pStyle w:val="4"/>
        <w:rPr>
          <w:rFonts w:hint="eastAsia" w:ascii="楷体" w:hAnsi="楷体" w:eastAsia="楷体" w:cs="楷体"/>
          <w:sz w:val="24"/>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jc w:val="center"/>
        <w:rPr>
          <w:rFonts w:hint="eastAsia" w:ascii="楷体" w:hAnsi="楷体" w:eastAsia="楷体" w:cs="楷体"/>
        </w:rPr>
      </w:pPr>
      <w:r>
        <w:rPr>
          <w:rStyle w:val="16"/>
          <w:rFonts w:hint="eastAsia" w:ascii="楷体" w:hAnsi="楷体" w:eastAsia="楷体" w:cs="楷体"/>
          <w:color w:val="000000"/>
          <w:sz w:val="30"/>
          <w:szCs w:val="30"/>
        </w:rPr>
        <w:t>第五部分  投标文件格式</w:t>
      </w:r>
    </w:p>
    <w:p>
      <w:pPr>
        <w:ind w:right="-313" w:rightChars="-149"/>
        <w:jc w:val="left"/>
        <w:rPr>
          <w:rFonts w:hint="eastAsia" w:ascii="楷体" w:hAnsi="楷体" w:eastAsia="楷体" w:cs="楷体"/>
          <w:sz w:val="32"/>
          <w:szCs w:val="32"/>
        </w:rPr>
      </w:pPr>
      <w:bookmarkStart w:id="203" w:name="_Toc263333430"/>
      <w:bookmarkStart w:id="204" w:name="_Toc150653527"/>
      <w:bookmarkStart w:id="205" w:name="_Toc262203146"/>
      <w:bookmarkStart w:id="206" w:name="_Toc322091072"/>
      <w:bookmarkStart w:id="207" w:name="_Toc25946"/>
      <w:bookmarkStart w:id="208" w:name="_Toc322033286"/>
      <w:bookmarkStart w:id="209" w:name="_Toc322033403"/>
      <w:r>
        <w:rPr>
          <w:rFonts w:hint="eastAsia" w:ascii="楷体" w:hAnsi="楷体" w:eastAsia="楷体" w:cs="楷体"/>
          <w:bCs/>
          <w:color w:val="000000" w:themeColor="text1"/>
          <w:sz w:val="30"/>
          <w:szCs w:val="30"/>
          <w14:textFill>
            <w14:solidFill>
              <w14:schemeClr w14:val="tx1"/>
            </w14:solidFill>
          </w14:textFill>
        </w:rPr>
        <w:t>投标文件封面格式</w:t>
      </w:r>
      <w:bookmarkEnd w:id="203"/>
      <w:bookmarkEnd w:id="204"/>
      <w:bookmarkEnd w:id="205"/>
      <w:bookmarkEnd w:id="206"/>
      <w:bookmarkEnd w:id="207"/>
      <w:bookmarkEnd w:id="208"/>
      <w:bookmarkEnd w:id="209"/>
      <w:r>
        <w:rPr>
          <w:rFonts w:hint="eastAsia" w:ascii="楷体" w:hAnsi="楷体" w:eastAsia="楷体" w:cs="楷体"/>
          <w:bCs/>
          <w:color w:val="000000" w:themeColor="text1"/>
          <w:sz w:val="30"/>
          <w:szCs w:val="30"/>
          <w14:textFill>
            <w14:solidFill>
              <w14:schemeClr w14:val="tx1"/>
            </w14:solidFill>
          </w14:textFill>
        </w:rPr>
        <w:t>：</w:t>
      </w:r>
    </w:p>
    <w:p>
      <w:pPr>
        <w:spacing w:line="360" w:lineRule="auto"/>
        <w:rPr>
          <w:rFonts w:hint="eastAsia" w:ascii="楷体" w:hAnsi="楷体" w:eastAsia="楷体" w:cs="楷体"/>
          <w:b/>
          <w:color w:val="000000" w:themeColor="text1"/>
          <w:spacing w:val="100"/>
          <w:w w:val="110"/>
          <w:sz w:val="72"/>
          <w:szCs w:val="72"/>
          <w14:textFill>
            <w14:solidFill>
              <w14:schemeClr w14:val="tx1"/>
            </w14:solidFill>
          </w14:textFill>
        </w:rPr>
      </w:pPr>
    </w:p>
    <w:p>
      <w:pPr>
        <w:spacing w:line="360" w:lineRule="auto"/>
        <w:jc w:val="center"/>
        <w:rPr>
          <w:rFonts w:hint="eastAsia" w:ascii="楷体" w:hAnsi="楷体" w:eastAsia="楷体" w:cs="楷体"/>
          <w:b/>
          <w:color w:val="000000" w:themeColor="text1"/>
          <w:spacing w:val="100"/>
          <w:w w:val="110"/>
          <w:sz w:val="72"/>
          <w:szCs w:val="72"/>
          <w14:textFill>
            <w14:solidFill>
              <w14:schemeClr w14:val="tx1"/>
            </w14:solidFill>
          </w14:textFill>
        </w:rPr>
      </w:pPr>
      <w:r>
        <w:rPr>
          <w:rFonts w:hint="eastAsia" w:ascii="楷体" w:hAnsi="楷体" w:eastAsia="楷体" w:cs="楷体"/>
          <w:b/>
          <w:color w:val="000000" w:themeColor="text1"/>
          <w:spacing w:val="100"/>
          <w:w w:val="110"/>
          <w:sz w:val="72"/>
          <w:szCs w:val="72"/>
          <w14:textFill>
            <w14:solidFill>
              <w14:schemeClr w14:val="tx1"/>
            </w14:solidFill>
          </w14:textFill>
        </w:rPr>
        <w:t>投 标 文 件</w:t>
      </w:r>
    </w:p>
    <w:p>
      <w:pPr>
        <w:ind w:right="-313" w:rightChars="-149"/>
        <w:jc w:val="center"/>
        <w:rPr>
          <w:rFonts w:hint="eastAsia" w:ascii="楷体" w:hAnsi="楷体" w:eastAsia="楷体" w:cs="楷体"/>
        </w:rPr>
      </w:pPr>
      <w:r>
        <w:rPr>
          <w:rFonts w:hint="eastAsia" w:ascii="楷体" w:hAnsi="楷体" w:eastAsia="楷体" w:cs="楷体"/>
          <w:b/>
          <w:color w:val="000000" w:themeColor="text1"/>
          <w:sz w:val="72"/>
          <w:szCs w:val="72"/>
          <w14:textFill>
            <w14:solidFill>
              <w14:schemeClr w14:val="tx1"/>
            </w14:solidFill>
          </w14:textFill>
        </w:rPr>
        <w:t>（正本/副本）</w:t>
      </w: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spacing w:line="360" w:lineRule="auto"/>
        <w:rPr>
          <w:rFonts w:hint="eastAsia" w:ascii="楷体" w:hAnsi="楷体" w:eastAsia="楷体" w:cs="楷体"/>
          <w:b/>
          <w:color w:val="000000" w:themeColor="text1"/>
          <w:sz w:val="30"/>
          <w:szCs w:val="30"/>
          <w:u w:val="single"/>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项目编号：</w:t>
      </w:r>
    </w:p>
    <w:p>
      <w:pPr>
        <w:spacing w:line="360" w:lineRule="auto"/>
        <w:ind w:left="1491" w:hanging="1491" w:hangingChars="495"/>
        <w:rPr>
          <w:rFonts w:hint="eastAsia" w:ascii="楷体" w:hAnsi="楷体" w:eastAsia="楷体" w:cs="楷体"/>
          <w:b/>
          <w:color w:val="000000" w:themeColor="text1"/>
          <w:sz w:val="30"/>
          <w:szCs w:val="30"/>
          <w:u w:val="single"/>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项目名称：</w:t>
      </w:r>
    </w:p>
    <w:p>
      <w:pPr>
        <w:spacing w:line="360" w:lineRule="auto"/>
        <w:rPr>
          <w:rFonts w:hint="eastAsia" w:ascii="楷体" w:hAnsi="楷体" w:eastAsia="楷体" w:cs="楷体"/>
          <w:b/>
          <w:color w:val="000000" w:themeColor="text1"/>
          <w:sz w:val="36"/>
          <w14:textFill>
            <w14:solidFill>
              <w14:schemeClr w14:val="tx1"/>
            </w14:solidFill>
          </w14:textFill>
        </w:rPr>
      </w:pPr>
    </w:p>
    <w:p>
      <w:pPr>
        <w:spacing w:line="360" w:lineRule="auto"/>
        <w:rPr>
          <w:rFonts w:hint="eastAsia" w:ascii="楷体" w:hAnsi="楷体" w:eastAsia="楷体" w:cs="楷体"/>
          <w:b/>
          <w:color w:val="000000" w:themeColor="text1"/>
          <w:sz w:val="30"/>
          <w:szCs w:val="30"/>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投标单位：</w:t>
      </w:r>
    </w:p>
    <w:p>
      <w:pPr>
        <w:spacing w:line="360" w:lineRule="auto"/>
        <w:rPr>
          <w:rFonts w:hint="eastAsia" w:ascii="楷体" w:hAnsi="楷体" w:eastAsia="楷体" w:cs="楷体"/>
          <w:b/>
          <w:color w:val="000000" w:themeColor="text1"/>
          <w:sz w:val="30"/>
          <w:szCs w:val="30"/>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地    址：</w:t>
      </w:r>
    </w:p>
    <w:p>
      <w:pPr>
        <w:spacing w:line="360" w:lineRule="auto"/>
        <w:rPr>
          <w:rFonts w:hint="eastAsia" w:ascii="楷体" w:hAnsi="楷体" w:eastAsia="楷体" w:cs="楷体"/>
          <w:b/>
          <w:color w:val="000000" w:themeColor="text1"/>
          <w:sz w:val="30"/>
          <w:szCs w:val="30"/>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联 系 人：</w:t>
      </w:r>
    </w:p>
    <w:p>
      <w:pPr>
        <w:spacing w:line="360" w:lineRule="auto"/>
        <w:rPr>
          <w:rFonts w:hint="eastAsia" w:ascii="楷体" w:hAnsi="楷体" w:eastAsia="楷体" w:cs="楷体"/>
          <w:b/>
          <w:color w:val="000000" w:themeColor="text1"/>
          <w:sz w:val="30"/>
          <w:szCs w:val="30"/>
          <w14:textFill>
            <w14:solidFill>
              <w14:schemeClr w14:val="tx1"/>
            </w14:solidFill>
          </w14:textFill>
        </w:rPr>
      </w:pPr>
      <w:r>
        <w:rPr>
          <w:rFonts w:hint="eastAsia" w:ascii="楷体" w:hAnsi="楷体" w:eastAsia="楷体" w:cs="楷体"/>
          <w:b/>
          <w:color w:val="000000" w:themeColor="text1"/>
          <w:sz w:val="30"/>
          <w:szCs w:val="30"/>
          <w14:textFill>
            <w14:solidFill>
              <w14:schemeClr w14:val="tx1"/>
            </w14:solidFill>
          </w14:textFill>
        </w:rPr>
        <w:t>联系电话：</w:t>
      </w:r>
    </w:p>
    <w:p>
      <w:pPr>
        <w:spacing w:line="360" w:lineRule="auto"/>
        <w:rPr>
          <w:rFonts w:hint="eastAsia" w:ascii="楷体" w:hAnsi="楷体" w:eastAsia="楷体" w:cs="楷体"/>
          <w:b/>
          <w:color w:val="000000" w:themeColor="text1"/>
          <w:sz w:val="28"/>
          <w:szCs w:val="28"/>
          <w14:textFill>
            <w14:solidFill>
              <w14:schemeClr w14:val="tx1"/>
            </w14:solidFill>
          </w14:textFill>
        </w:rPr>
      </w:pPr>
      <w:r>
        <w:rPr>
          <w:rFonts w:hint="eastAsia" w:ascii="楷体" w:hAnsi="楷体" w:eastAsia="楷体" w:cs="楷体"/>
          <w:b/>
          <w:color w:val="000000" w:themeColor="text1"/>
          <w:sz w:val="28"/>
          <w:szCs w:val="28"/>
          <w14:textFill>
            <w14:solidFill>
              <w14:schemeClr w14:val="tx1"/>
            </w14:solidFill>
          </w14:textFill>
        </w:rPr>
        <w:t>日    期：           年     月     日</w:t>
      </w: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ind w:right="-313" w:rightChars="-149"/>
        <w:rPr>
          <w:rFonts w:hint="eastAsia" w:ascii="楷体" w:hAnsi="楷体" w:eastAsia="楷体" w:cs="楷体"/>
        </w:rPr>
      </w:pPr>
    </w:p>
    <w:p>
      <w:pPr>
        <w:pStyle w:val="2"/>
        <w:keepNext w:val="0"/>
        <w:jc w:val="both"/>
        <w:rPr>
          <w:rFonts w:hint="eastAsia" w:ascii="楷体" w:hAnsi="楷体" w:eastAsia="楷体" w:cs="楷体"/>
          <w:b w:val="0"/>
          <w:color w:val="000000" w:themeColor="text1"/>
          <w:sz w:val="30"/>
          <w:szCs w:val="30"/>
          <w14:textFill>
            <w14:solidFill>
              <w14:schemeClr w14:val="tx1"/>
            </w14:solidFill>
          </w14:textFill>
        </w:rPr>
      </w:pPr>
      <w:bookmarkStart w:id="210" w:name="_Toc397676794"/>
      <w:bookmarkStart w:id="211" w:name="_Toc292376310"/>
      <w:bookmarkStart w:id="212" w:name="_Toc521081296"/>
      <w:bookmarkStart w:id="213" w:name="_Toc400960188"/>
      <w:bookmarkStart w:id="214" w:name="_Toc293950831"/>
      <w:bookmarkStart w:id="215" w:name="_Toc445120965"/>
      <w:r>
        <w:rPr>
          <w:rFonts w:hint="eastAsia" w:ascii="楷体" w:hAnsi="楷体" w:eastAsia="楷体" w:cs="楷体"/>
          <w:b w:val="0"/>
          <w:color w:val="000000" w:themeColor="text1"/>
          <w:sz w:val="30"/>
          <w:szCs w:val="30"/>
          <w14:textFill>
            <w14:solidFill>
              <w14:schemeClr w14:val="tx1"/>
            </w14:solidFill>
          </w14:textFill>
        </w:rPr>
        <w:t>附件1、索引目录表</w:t>
      </w:r>
      <w:bookmarkEnd w:id="210"/>
      <w:bookmarkEnd w:id="211"/>
      <w:bookmarkEnd w:id="212"/>
      <w:bookmarkEnd w:id="213"/>
      <w:bookmarkEnd w:id="214"/>
      <w:bookmarkEnd w:id="215"/>
    </w:p>
    <w:p>
      <w:pPr>
        <w:ind w:firstLine="480" w:firstLineChars="200"/>
        <w:rPr>
          <w:rFonts w:hint="eastAsia" w:ascii="楷体" w:hAnsi="楷体" w:eastAsia="楷体" w:cs="楷体"/>
        </w:rPr>
      </w:pPr>
      <w:bookmarkStart w:id="216" w:name="_Toc101771381"/>
      <w:bookmarkStart w:id="217" w:name="_Toc98579071"/>
      <w:bookmarkStart w:id="218" w:name="_Toc38947809"/>
      <w:bookmarkStart w:id="219" w:name="_Toc42313176"/>
      <w:bookmarkStart w:id="220" w:name="_Toc40762377"/>
      <w:bookmarkStart w:id="221" w:name="_Toc101951272"/>
      <w:bookmarkStart w:id="222" w:name="_Toc42394675"/>
      <w:bookmarkStart w:id="223" w:name="_Toc175644396"/>
      <w:bookmarkStart w:id="224" w:name="_Toc101843134"/>
      <w:bookmarkStart w:id="225" w:name="_Toc41884710"/>
      <w:bookmarkStart w:id="226" w:name="_Toc41884709"/>
      <w:bookmarkStart w:id="227" w:name="_Toc41723940"/>
      <w:bookmarkStart w:id="228" w:name="_Toc98579612"/>
      <w:bookmarkStart w:id="229" w:name="_Toc50276168"/>
      <w:bookmarkStart w:id="230" w:name="_Toc101775134"/>
      <w:bookmarkStart w:id="231" w:name="_Toc50276167"/>
      <w:bookmarkStart w:id="232" w:name="_Toc98580295"/>
      <w:bookmarkStart w:id="233" w:name="_Toc38947810"/>
      <w:bookmarkStart w:id="234" w:name="_Toc42394676"/>
      <w:bookmarkStart w:id="235" w:name="_Toc40762378"/>
      <w:bookmarkStart w:id="236" w:name="_Toc42394520"/>
      <w:bookmarkStart w:id="237" w:name="_Toc98579013"/>
      <w:bookmarkStart w:id="238" w:name="_Toc175106977"/>
      <w:bookmarkStart w:id="239" w:name="_Toc42313175"/>
      <w:bookmarkStart w:id="240" w:name="_Toc41723939"/>
      <w:bookmarkStart w:id="241" w:name="_Toc42394519"/>
      <w:r>
        <w:rPr>
          <w:rFonts w:hint="eastAsia" w:ascii="楷体" w:hAnsi="楷体" w:eastAsia="楷体" w:cs="楷体"/>
          <w:sz w:val="24"/>
          <w:highlight w:val="white"/>
        </w:rPr>
        <w:t>投标文件</w:t>
      </w:r>
      <w:r>
        <w:rPr>
          <w:rFonts w:hint="eastAsia" w:ascii="楷体" w:hAnsi="楷体" w:eastAsia="楷体" w:cs="楷体"/>
          <w:sz w:val="24"/>
          <w:highlight w:val="white"/>
          <w:lang w:val="zh-CN"/>
        </w:rPr>
        <w:t>包括但不限于以下组成内容，请按顺序制作，本</w:t>
      </w:r>
      <w:r>
        <w:rPr>
          <w:rFonts w:hint="eastAsia" w:ascii="楷体" w:hAnsi="楷体" w:eastAsia="楷体" w:cs="楷体"/>
          <w:sz w:val="24"/>
          <w:highlight w:val="white"/>
        </w:rPr>
        <w:t>部分</w:t>
      </w:r>
      <w:r>
        <w:rPr>
          <w:rFonts w:hint="eastAsia" w:ascii="楷体" w:hAnsi="楷体" w:eastAsia="楷体" w:cs="楷体"/>
          <w:sz w:val="24"/>
          <w:highlight w:val="white"/>
          <w:lang w:val="zh-CN"/>
        </w:rPr>
        <w:t>有提供格式文件的请按格式要求提交。</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pPr>
        <w:pStyle w:val="21"/>
        <w:keepNext w:val="0"/>
        <w:outlineLvl w:val="9"/>
        <w:rPr>
          <w:rFonts w:hint="eastAsia" w:ascii="楷体" w:hAnsi="楷体" w:eastAsia="楷体" w:cs="楷体"/>
          <w:color w:val="000000" w:themeColor="text1"/>
          <w:sz w:val="24"/>
          <w:szCs w:val="24"/>
          <w14:textFill>
            <w14:solidFill>
              <w14:schemeClr w14:val="tx1"/>
            </w14:solidFill>
          </w14:textFill>
        </w:rPr>
      </w:pPr>
      <w:bookmarkStart w:id="242" w:name="_Toc445120966"/>
      <w:bookmarkStart w:id="243" w:name="_Toc3767"/>
      <w:bookmarkStart w:id="244" w:name="_Toc491349215"/>
      <w:r>
        <w:rPr>
          <w:rFonts w:hint="eastAsia" w:ascii="楷体" w:hAnsi="楷体" w:eastAsia="楷体" w:cs="楷体"/>
          <w:color w:val="000000" w:themeColor="text1"/>
          <w:sz w:val="24"/>
          <w:szCs w:val="24"/>
          <w14:textFill>
            <w14:solidFill>
              <w14:schemeClr w14:val="tx1"/>
            </w14:solidFill>
          </w14:textFill>
        </w:rPr>
        <w:t>索引目录表</w:t>
      </w:r>
      <w:bookmarkEnd w:id="242"/>
      <w:bookmarkEnd w:id="243"/>
      <w:bookmarkEnd w:id="244"/>
    </w:p>
    <w:tbl>
      <w:tblPr>
        <w:tblStyle w:val="14"/>
        <w:tblW w:w="8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751"/>
        <w:gridCol w:w="3587"/>
        <w:gridCol w:w="861"/>
        <w:gridCol w:w="700"/>
        <w:gridCol w:w="825"/>
        <w:gridCol w:w="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124" w:type="dxa"/>
            <w:vMerge w:val="restart"/>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文件</w:t>
            </w:r>
          </w:p>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类型</w:t>
            </w:r>
          </w:p>
        </w:tc>
        <w:tc>
          <w:tcPr>
            <w:tcW w:w="751" w:type="dxa"/>
            <w:vMerge w:val="restart"/>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序号</w:t>
            </w:r>
          </w:p>
        </w:tc>
        <w:tc>
          <w:tcPr>
            <w:tcW w:w="3587" w:type="dxa"/>
            <w:vMerge w:val="restart"/>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文  件  名  称</w:t>
            </w:r>
          </w:p>
        </w:tc>
        <w:tc>
          <w:tcPr>
            <w:tcW w:w="1561" w:type="dxa"/>
            <w:gridSpan w:val="2"/>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提交情况</w:t>
            </w:r>
          </w:p>
        </w:tc>
        <w:tc>
          <w:tcPr>
            <w:tcW w:w="825" w:type="dxa"/>
            <w:vMerge w:val="restart"/>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页码</w:t>
            </w:r>
          </w:p>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范围</w:t>
            </w:r>
          </w:p>
        </w:tc>
        <w:tc>
          <w:tcPr>
            <w:tcW w:w="575" w:type="dxa"/>
            <w:vMerge w:val="restart"/>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124" w:type="dxa"/>
            <w:vMerge w:val="continue"/>
            <w:shd w:val="clear" w:color="auto" w:fill="E0E0E0"/>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51" w:type="dxa"/>
            <w:vMerge w:val="continue"/>
            <w:shd w:val="clear" w:color="auto" w:fill="E0E0E0"/>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3587" w:type="dxa"/>
            <w:vMerge w:val="continue"/>
            <w:shd w:val="clear" w:color="auto" w:fill="E0E0E0"/>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c>
          <w:tcPr>
            <w:tcW w:w="861" w:type="dxa"/>
            <w:shd w:val="clear" w:color="auto" w:fill="auto"/>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有</w:t>
            </w:r>
          </w:p>
        </w:tc>
        <w:tc>
          <w:tcPr>
            <w:tcW w:w="700" w:type="dxa"/>
            <w:shd w:val="clear" w:color="auto" w:fill="auto"/>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无</w:t>
            </w:r>
          </w:p>
        </w:tc>
        <w:tc>
          <w:tcPr>
            <w:tcW w:w="825" w:type="dxa"/>
            <w:vMerge w:val="continue"/>
            <w:shd w:val="clear" w:color="auto" w:fill="E0E0E0"/>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Merge w:val="continue"/>
            <w:shd w:val="clear" w:color="auto" w:fill="E0E0E0"/>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24" w:type="dxa"/>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目录</w:t>
            </w: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索引目录表（附件1）</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4" w:type="dxa"/>
            <w:vMerge w:val="restart"/>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资格性及符合性资料</w:t>
            </w: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投标承诺函（附件2）</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sz w:val="24"/>
                <w:szCs w:val="22"/>
              </w:rPr>
              <w:t>投标人资格声明函</w:t>
            </w:r>
            <w:r>
              <w:rPr>
                <w:rFonts w:hint="eastAsia" w:ascii="楷体" w:hAnsi="楷体" w:eastAsia="楷体" w:cs="楷体"/>
                <w:color w:val="000000" w:themeColor="text1"/>
                <w:sz w:val="24"/>
                <w14:textFill>
                  <w14:solidFill>
                    <w14:schemeClr w14:val="tx1"/>
                  </w14:solidFill>
                </w14:textFill>
              </w:rPr>
              <w:t>（附件3 ）</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4" w:type="dxa"/>
            <w:vMerge w:val="continue"/>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4</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sz w:val="24"/>
                <w:szCs w:val="22"/>
              </w:rPr>
              <w:t>投标人资格证照（扫描件）</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4" w:type="dxa"/>
            <w:vMerge w:val="continue"/>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5</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法定代表人证明书（附件4 ）</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4" w:type="dxa"/>
            <w:vMerge w:val="continue"/>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6</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法定代表人授权委托书（附件5）</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4" w:type="dxa"/>
            <w:vMerge w:val="continue"/>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7</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招标文件中规定的资格要求证明文件</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24" w:type="dxa"/>
            <w:vMerge w:val="continue"/>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8</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bCs/>
                <w:sz w:val="24"/>
              </w:rPr>
              <w:t>实质性响应一览表</w:t>
            </w:r>
            <w:r>
              <w:rPr>
                <w:rFonts w:hint="eastAsia" w:ascii="楷体" w:hAnsi="楷体" w:eastAsia="楷体" w:cs="楷体"/>
                <w:color w:val="000000" w:themeColor="text1"/>
                <w:sz w:val="24"/>
                <w14:textFill>
                  <w14:solidFill>
                    <w14:schemeClr w14:val="tx1"/>
                  </w14:solidFill>
                </w14:textFill>
              </w:rPr>
              <w:t>（附件6 ）</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9</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投标人认为需要提供的其它说明和资料</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restart"/>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技术</w:t>
            </w:r>
          </w:p>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文件</w:t>
            </w: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10</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采购需求</w:t>
            </w:r>
            <w:r>
              <w:rPr>
                <w:rFonts w:hint="eastAsia" w:ascii="楷体" w:hAnsi="楷体" w:eastAsia="楷体" w:cs="楷体"/>
                <w:sz w:val="24"/>
                <w:szCs w:val="22"/>
              </w:rPr>
              <w:t>一般性条款响应差异表</w:t>
            </w:r>
            <w:r>
              <w:rPr>
                <w:rFonts w:hint="eastAsia" w:ascii="楷体" w:hAnsi="楷体" w:eastAsia="楷体" w:cs="楷体"/>
                <w:color w:val="000000" w:themeColor="text1"/>
                <w:sz w:val="24"/>
                <w14:textFill>
                  <w14:solidFill>
                    <w14:schemeClr w14:val="tx1"/>
                  </w14:solidFill>
                </w14:textFill>
              </w:rPr>
              <w:t>（附件7 ）</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11</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sz w:val="24"/>
                <w:szCs w:val="22"/>
              </w:rPr>
              <w:t>对采购需求的响应程度（投标服务方案）</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12</w:t>
            </w:r>
          </w:p>
        </w:tc>
        <w:tc>
          <w:tcPr>
            <w:tcW w:w="3587" w:type="dxa"/>
            <w:vAlign w:val="center"/>
          </w:tcPr>
          <w:p>
            <w:pPr>
              <w:pStyle w:val="4"/>
              <w:ind w:firstLine="0"/>
              <w:jc w:val="left"/>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sz w:val="24"/>
                <w:szCs w:val="22"/>
              </w:rPr>
              <w:t>服务工作目标</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13</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sz w:val="24"/>
              </w:rPr>
              <w:t>服务保障能力</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14</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sz w:val="24"/>
                <w:szCs w:val="22"/>
              </w:rPr>
              <w:t>业绩一览表</w:t>
            </w:r>
            <w:r>
              <w:rPr>
                <w:rFonts w:hint="eastAsia" w:ascii="楷体" w:hAnsi="楷体" w:eastAsia="楷体" w:cs="楷体"/>
                <w:color w:val="000000" w:themeColor="text1"/>
                <w:sz w:val="24"/>
                <w14:textFill>
                  <w14:solidFill>
                    <w14:schemeClr w14:val="tx1"/>
                  </w14:solidFill>
                </w14:textFill>
              </w:rPr>
              <w:t>（附件8 ）</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15</w:t>
            </w:r>
          </w:p>
        </w:tc>
        <w:tc>
          <w:tcPr>
            <w:tcW w:w="3587" w:type="dxa"/>
            <w:vAlign w:val="center"/>
          </w:tcPr>
          <w:p>
            <w:pPr>
              <w:spacing w:line="360" w:lineRule="auto"/>
              <w:rPr>
                <w:rFonts w:hint="eastAsia" w:ascii="楷体" w:hAnsi="楷体" w:eastAsia="楷体" w:cs="楷体"/>
                <w:sz w:val="24"/>
                <w:szCs w:val="22"/>
              </w:rPr>
            </w:pP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continue"/>
            <w:vAlign w:val="center"/>
          </w:tcPr>
          <w:p>
            <w:pPr>
              <w:spacing w:line="360" w:lineRule="auto"/>
              <w:ind w:left="113" w:right="113"/>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16</w:t>
            </w:r>
          </w:p>
        </w:tc>
        <w:tc>
          <w:tcPr>
            <w:tcW w:w="3587" w:type="dxa"/>
            <w:vAlign w:val="center"/>
          </w:tcPr>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sz w:val="24"/>
              </w:rPr>
              <w:t>客户评价情况</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restart"/>
            <w:vAlign w:val="center"/>
          </w:tcPr>
          <w:p>
            <w:pPr>
              <w:spacing w:line="360" w:lineRule="auto"/>
              <w:ind w:firstLine="236" w:firstLineChars="98"/>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投标</w:t>
            </w:r>
          </w:p>
          <w:p>
            <w:pPr>
              <w:spacing w:line="360" w:lineRule="auto"/>
              <w:ind w:firstLine="236" w:firstLineChars="98"/>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报价</w:t>
            </w: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17</w:t>
            </w:r>
          </w:p>
        </w:tc>
        <w:tc>
          <w:tcPr>
            <w:tcW w:w="3587" w:type="dxa"/>
            <w:vAlign w:val="center"/>
          </w:tcPr>
          <w:p>
            <w:pPr>
              <w:adjustRightInd w:val="0"/>
              <w:spacing w:line="360" w:lineRule="auto"/>
              <w:textAlignment w:val="baseline"/>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开标一览表（附件10）</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vMerge w:val="continue"/>
            <w:vAlign w:val="center"/>
          </w:tcPr>
          <w:p>
            <w:pPr>
              <w:spacing w:line="360" w:lineRule="auto"/>
              <w:ind w:firstLine="236" w:firstLineChars="98"/>
              <w:jc w:val="center"/>
              <w:rPr>
                <w:rFonts w:hint="eastAsia" w:ascii="楷体" w:hAnsi="楷体" w:eastAsia="楷体" w:cs="楷体"/>
                <w:b/>
                <w:color w:val="000000" w:themeColor="text1"/>
                <w:sz w:val="24"/>
                <w14:textFill>
                  <w14:solidFill>
                    <w14:schemeClr w14:val="tx1"/>
                  </w14:solidFill>
                </w14:textFill>
              </w:rPr>
            </w:pPr>
          </w:p>
        </w:tc>
        <w:tc>
          <w:tcPr>
            <w:tcW w:w="75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18</w:t>
            </w:r>
          </w:p>
        </w:tc>
        <w:tc>
          <w:tcPr>
            <w:tcW w:w="3587" w:type="dxa"/>
            <w:vAlign w:val="center"/>
          </w:tcPr>
          <w:p>
            <w:pPr>
              <w:adjustRightInd w:val="0"/>
              <w:spacing w:line="360" w:lineRule="auto"/>
              <w:textAlignment w:val="baseline"/>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报价明细表（附件11）</w:t>
            </w:r>
          </w:p>
        </w:tc>
        <w:tc>
          <w:tcPr>
            <w:tcW w:w="861"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700"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82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c>
          <w:tcPr>
            <w:tcW w:w="575" w:type="dxa"/>
            <w:vAlign w:val="center"/>
          </w:tcPr>
          <w:p>
            <w:pPr>
              <w:spacing w:line="360" w:lineRule="auto"/>
              <w:jc w:val="center"/>
              <w:rPr>
                <w:rFonts w:hint="eastAsia" w:ascii="楷体" w:hAnsi="楷体" w:eastAsia="楷体" w:cs="楷体"/>
                <w:color w:val="000000" w:themeColor="text1"/>
                <w:sz w:val="24"/>
                <w14:textFill>
                  <w14:solidFill>
                    <w14:schemeClr w14:val="tx1"/>
                  </w14:solidFill>
                </w14:textFill>
              </w:rPr>
            </w:pPr>
          </w:p>
        </w:tc>
      </w:tr>
    </w:tbl>
    <w:p>
      <w:pPr>
        <w:spacing w:line="360" w:lineRule="auto"/>
        <w:outlineLvl w:val="0"/>
        <w:rPr>
          <w:rFonts w:hint="eastAsia"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color w:val="000000" w:themeColor="text1"/>
          <w14:textFill>
            <w14:solidFill>
              <w14:schemeClr w14:val="tx1"/>
            </w14:solidFill>
          </w14:textFill>
        </w:rPr>
        <w:br w:type="page"/>
      </w:r>
      <w:bookmarkStart w:id="245" w:name="_Toc400960190"/>
      <w:bookmarkStart w:id="246" w:name="_Toc521081297"/>
      <w:bookmarkStart w:id="247" w:name="_Toc445120968"/>
      <w:bookmarkStart w:id="248" w:name="_Toc397676796"/>
      <w:bookmarkStart w:id="249" w:name="_Toc400960189"/>
      <w:bookmarkStart w:id="250" w:name="_Toc397676795"/>
      <w:bookmarkStart w:id="251" w:name="_Toc263437595"/>
      <w:bookmarkStart w:id="252" w:name="_Toc263670123"/>
      <w:bookmarkStart w:id="253" w:name="_Toc322033405"/>
      <w:bookmarkStart w:id="254" w:name="_Toc445120967"/>
      <w:r>
        <w:rPr>
          <w:rFonts w:hint="eastAsia" w:ascii="楷体" w:hAnsi="楷体" w:eastAsia="楷体" w:cs="楷体"/>
          <w:bCs/>
          <w:color w:val="000000" w:themeColor="text1"/>
          <w:sz w:val="30"/>
          <w:szCs w:val="30"/>
          <w14:textFill>
            <w14:solidFill>
              <w14:schemeClr w14:val="tx1"/>
            </w14:solidFill>
          </w14:textFill>
        </w:rPr>
        <w:t>附件</w:t>
      </w:r>
      <w:bookmarkEnd w:id="245"/>
      <w:bookmarkEnd w:id="246"/>
      <w:bookmarkEnd w:id="247"/>
      <w:bookmarkEnd w:id="248"/>
      <w:bookmarkStart w:id="255" w:name="_Toc521081299"/>
      <w:r>
        <w:rPr>
          <w:rFonts w:hint="eastAsia" w:ascii="楷体" w:hAnsi="楷体" w:eastAsia="楷体" w:cs="楷体"/>
          <w:bCs/>
          <w:color w:val="000000" w:themeColor="text1"/>
          <w:sz w:val="30"/>
          <w:szCs w:val="30"/>
          <w14:textFill>
            <w14:solidFill>
              <w14:schemeClr w14:val="tx1"/>
            </w14:solidFill>
          </w14:textFill>
        </w:rPr>
        <w:t>2、投标承诺函</w:t>
      </w:r>
      <w:bookmarkEnd w:id="249"/>
      <w:bookmarkEnd w:id="250"/>
      <w:bookmarkEnd w:id="251"/>
      <w:bookmarkEnd w:id="252"/>
      <w:bookmarkEnd w:id="253"/>
      <w:bookmarkEnd w:id="254"/>
      <w:bookmarkEnd w:id="255"/>
      <w:r>
        <w:rPr>
          <w:rFonts w:hint="eastAsia" w:ascii="楷体" w:hAnsi="楷体" w:eastAsia="楷体" w:cs="楷体"/>
          <w:b/>
          <w:color w:val="000000" w:themeColor="text1"/>
          <w:sz w:val="32"/>
          <w:szCs w:val="32"/>
          <w14:textFill>
            <w14:solidFill>
              <w14:schemeClr w14:val="tx1"/>
            </w14:solidFill>
          </w14:textFill>
        </w:rPr>
        <w:t xml:space="preserve"> </w:t>
      </w:r>
    </w:p>
    <w:p>
      <w:pPr>
        <w:pStyle w:val="30"/>
        <w:spacing w:line="360" w:lineRule="auto"/>
        <w:jc w:val="center"/>
        <w:rPr>
          <w:rFonts w:hint="eastAsia" w:ascii="楷体" w:hAnsi="楷体" w:eastAsia="楷体" w:cs="楷体"/>
          <w:b/>
          <w:sz w:val="24"/>
          <w:szCs w:val="24"/>
        </w:rPr>
      </w:pPr>
      <w:r>
        <w:rPr>
          <w:rFonts w:hint="eastAsia" w:ascii="楷体" w:hAnsi="楷体" w:eastAsia="楷体" w:cs="楷体"/>
          <w:b/>
          <w:sz w:val="24"/>
          <w:szCs w:val="24"/>
        </w:rPr>
        <w:t>投标承诺函</w:t>
      </w:r>
    </w:p>
    <w:p>
      <w:pPr>
        <w:pStyle w:val="31"/>
        <w:spacing w:line="360" w:lineRule="auto"/>
        <w:ind w:right="84" w:rightChars="40"/>
        <w:rPr>
          <w:rFonts w:hint="eastAsia" w:ascii="楷体" w:hAnsi="楷体" w:eastAsia="楷体" w:cs="楷体"/>
          <w:sz w:val="24"/>
          <w:szCs w:val="24"/>
        </w:rPr>
      </w:pPr>
      <w:r>
        <w:rPr>
          <w:rFonts w:hint="eastAsia" w:ascii="楷体" w:hAnsi="楷体" w:eastAsia="楷体" w:cs="楷体"/>
          <w:sz w:val="24"/>
          <w:szCs w:val="24"/>
        </w:rPr>
        <w:t>广东华建兴工程管理有限公司：</w:t>
      </w:r>
    </w:p>
    <w:p>
      <w:pPr>
        <w:pStyle w:val="31"/>
        <w:tabs>
          <w:tab w:val="left" w:pos="9450"/>
        </w:tabs>
        <w:spacing w:line="360" w:lineRule="auto"/>
        <w:ind w:right="84" w:rightChars="40" w:firstLine="480" w:firstLineChars="200"/>
        <w:rPr>
          <w:rFonts w:hint="eastAsia" w:ascii="楷体" w:hAnsi="楷体" w:eastAsia="楷体" w:cs="楷体"/>
          <w:sz w:val="24"/>
          <w:szCs w:val="24"/>
        </w:rPr>
      </w:pPr>
      <w:r>
        <w:rPr>
          <w:rFonts w:hint="eastAsia" w:ascii="楷体" w:hAnsi="楷体" w:eastAsia="楷体" w:cs="楷体"/>
          <w:sz w:val="24"/>
          <w:szCs w:val="24"/>
        </w:rPr>
        <w:t>我方确认收到贵方提供的“联邦工业城 A8 幢厂房更换电梯项目”（项目编号：HJX20230325-01）的招标文件，已完全理解招标文件的所有内容。决定投标本项目，据此我方承诺如下：</w:t>
      </w:r>
    </w:p>
    <w:p>
      <w:pPr>
        <w:pStyle w:val="32"/>
        <w:keepNext w:val="0"/>
        <w:keepLines w:val="0"/>
        <w:numPr>
          <w:ilvl w:val="2"/>
          <w:numId w:val="0"/>
        </w:numPr>
        <w:autoSpaceDE w:val="0"/>
        <w:autoSpaceDN w:val="0"/>
        <w:adjustRightInd w:val="0"/>
        <w:snapToGrid w:val="0"/>
        <w:spacing w:before="0" w:after="0" w:line="360" w:lineRule="auto"/>
        <w:ind w:firstLine="480" w:firstLineChars="200"/>
        <w:jc w:val="left"/>
        <w:rPr>
          <w:rFonts w:hint="eastAsia" w:ascii="楷体" w:hAnsi="楷体" w:eastAsia="楷体" w:cs="楷体"/>
          <w:b w:val="0"/>
          <w:sz w:val="24"/>
          <w:szCs w:val="24"/>
        </w:rPr>
      </w:pPr>
      <w:r>
        <w:rPr>
          <w:rFonts w:hint="eastAsia" w:ascii="楷体" w:hAnsi="楷体" w:eastAsia="楷体" w:cs="楷体"/>
          <w:b w:val="0"/>
          <w:sz w:val="24"/>
          <w:szCs w:val="24"/>
        </w:rPr>
        <w:t>1、我方的投标文件在投标截止日后90天（日历天）内保持有效，如中标，有效期将延至本项目《采购合同》执行期满日为止。</w:t>
      </w:r>
    </w:p>
    <w:p>
      <w:pPr>
        <w:pStyle w:val="32"/>
        <w:keepNext w:val="0"/>
        <w:keepLines w:val="0"/>
        <w:numPr>
          <w:ilvl w:val="2"/>
          <w:numId w:val="0"/>
        </w:numPr>
        <w:autoSpaceDE w:val="0"/>
        <w:autoSpaceDN w:val="0"/>
        <w:adjustRightInd w:val="0"/>
        <w:snapToGrid w:val="0"/>
        <w:spacing w:before="0" w:after="0" w:line="360" w:lineRule="auto"/>
        <w:ind w:firstLine="480" w:firstLineChars="200"/>
        <w:jc w:val="left"/>
        <w:rPr>
          <w:rFonts w:hint="eastAsia" w:ascii="楷体" w:hAnsi="楷体" w:eastAsia="楷体" w:cs="楷体"/>
          <w:b w:val="0"/>
          <w:sz w:val="24"/>
          <w:szCs w:val="24"/>
        </w:rPr>
      </w:pPr>
      <w:r>
        <w:rPr>
          <w:rFonts w:hint="eastAsia" w:ascii="楷体" w:hAnsi="楷体" w:eastAsia="楷体" w:cs="楷体"/>
          <w:b w:val="0"/>
          <w:sz w:val="24"/>
          <w:szCs w:val="24"/>
        </w:rPr>
        <w:t>2、我方在参与投标前已仔细研究了招标文件和所有相关资料，我方完全明白并认为此招标文件没有倾向性，也没有存在排斥潜在投标人的内容，我方同意招标文件的相关条款，放弃对招标文件提出误解和质疑的一切权利。</w:t>
      </w:r>
    </w:p>
    <w:p>
      <w:pPr>
        <w:pStyle w:val="32"/>
        <w:keepNext w:val="0"/>
        <w:keepLines w:val="0"/>
        <w:numPr>
          <w:ilvl w:val="2"/>
          <w:numId w:val="0"/>
        </w:numPr>
        <w:autoSpaceDE w:val="0"/>
        <w:autoSpaceDN w:val="0"/>
        <w:adjustRightInd w:val="0"/>
        <w:snapToGrid w:val="0"/>
        <w:spacing w:before="0" w:after="0" w:line="360" w:lineRule="auto"/>
        <w:ind w:firstLine="480" w:firstLineChars="200"/>
        <w:jc w:val="left"/>
        <w:rPr>
          <w:rFonts w:hint="eastAsia" w:ascii="楷体" w:hAnsi="楷体" w:eastAsia="楷体" w:cs="楷体"/>
          <w:b w:val="0"/>
          <w:sz w:val="24"/>
          <w:szCs w:val="24"/>
        </w:rPr>
      </w:pPr>
      <w:r>
        <w:rPr>
          <w:rFonts w:hint="eastAsia" w:ascii="楷体" w:hAnsi="楷体" w:eastAsia="楷体" w:cs="楷体"/>
          <w:b w:val="0"/>
          <w:sz w:val="24"/>
          <w:szCs w:val="24"/>
        </w:rPr>
        <w:t>3、我方声明投标文件及所提供的一切资料均真实无误及有效。由于我方提供资料不实而造成的责任和后果由我方承担。我方同意按照贵方可能提出的要求，提供与投标有关的任何其它数据或信息。</w:t>
      </w:r>
    </w:p>
    <w:p>
      <w:pPr>
        <w:pStyle w:val="32"/>
        <w:keepNext w:val="0"/>
        <w:keepLines w:val="0"/>
        <w:numPr>
          <w:ilvl w:val="2"/>
          <w:numId w:val="0"/>
        </w:numPr>
        <w:autoSpaceDE w:val="0"/>
        <w:autoSpaceDN w:val="0"/>
        <w:adjustRightInd w:val="0"/>
        <w:snapToGrid w:val="0"/>
        <w:spacing w:before="0" w:after="0" w:line="360" w:lineRule="auto"/>
        <w:ind w:firstLine="480" w:firstLineChars="200"/>
        <w:jc w:val="left"/>
        <w:rPr>
          <w:rFonts w:hint="eastAsia" w:ascii="楷体" w:hAnsi="楷体" w:eastAsia="楷体" w:cs="楷体"/>
          <w:b w:val="0"/>
          <w:sz w:val="24"/>
          <w:szCs w:val="24"/>
        </w:rPr>
      </w:pPr>
      <w:r>
        <w:rPr>
          <w:rFonts w:hint="eastAsia" w:ascii="楷体" w:hAnsi="楷体" w:eastAsia="楷体" w:cs="楷体"/>
          <w:b w:val="0"/>
          <w:sz w:val="24"/>
          <w:szCs w:val="24"/>
        </w:rPr>
        <w:t>4、我方理解贵方不一定接受最低报价的投标。</w:t>
      </w:r>
    </w:p>
    <w:p>
      <w:pPr>
        <w:pStyle w:val="32"/>
        <w:keepNext w:val="0"/>
        <w:keepLines w:val="0"/>
        <w:numPr>
          <w:ilvl w:val="2"/>
          <w:numId w:val="0"/>
        </w:numPr>
        <w:autoSpaceDE w:val="0"/>
        <w:autoSpaceDN w:val="0"/>
        <w:adjustRightInd w:val="0"/>
        <w:snapToGrid w:val="0"/>
        <w:spacing w:before="0" w:after="0" w:line="360" w:lineRule="auto"/>
        <w:ind w:firstLine="480" w:firstLineChars="200"/>
        <w:jc w:val="left"/>
        <w:rPr>
          <w:rFonts w:hint="eastAsia" w:ascii="楷体" w:hAnsi="楷体" w:eastAsia="楷体" w:cs="楷体"/>
          <w:b w:val="0"/>
          <w:sz w:val="24"/>
          <w:szCs w:val="24"/>
        </w:rPr>
      </w:pPr>
      <w:r>
        <w:rPr>
          <w:rFonts w:hint="eastAsia" w:ascii="楷体" w:hAnsi="楷体" w:eastAsia="楷体" w:cs="楷体"/>
          <w:b w:val="0"/>
          <w:sz w:val="24"/>
          <w:szCs w:val="24"/>
        </w:rPr>
        <w:t>5、我方接受按采购人委托向贵方支付服务费，如果中标，保证履行投标文件中承诺的全部责任和义务，切实履行《采购合同》中的全部条款，投标总报价已包含贵方服务费，并承诺向贵方足额支付。</w:t>
      </w:r>
    </w:p>
    <w:p>
      <w:pPr>
        <w:pStyle w:val="32"/>
        <w:keepNext w:val="0"/>
        <w:keepLines w:val="0"/>
        <w:numPr>
          <w:ilvl w:val="2"/>
          <w:numId w:val="0"/>
        </w:numPr>
        <w:autoSpaceDE w:val="0"/>
        <w:autoSpaceDN w:val="0"/>
        <w:adjustRightInd w:val="0"/>
        <w:snapToGrid w:val="0"/>
        <w:spacing w:before="0" w:after="0" w:line="360" w:lineRule="auto"/>
        <w:ind w:firstLine="480" w:firstLineChars="200"/>
        <w:jc w:val="left"/>
        <w:rPr>
          <w:rFonts w:hint="eastAsia" w:ascii="楷体" w:hAnsi="楷体" w:eastAsia="楷体" w:cs="楷体"/>
          <w:b w:val="0"/>
          <w:sz w:val="24"/>
          <w:szCs w:val="24"/>
        </w:rPr>
      </w:pPr>
      <w:r>
        <w:rPr>
          <w:rFonts w:hint="eastAsia" w:ascii="楷体" w:hAnsi="楷体" w:eastAsia="楷体" w:cs="楷体"/>
          <w:b w:val="0"/>
          <w:sz w:val="24"/>
          <w:szCs w:val="24"/>
        </w:rPr>
        <w:t>6、我方保证，采购人在中华人民共和国境内使用我方报价货物、资料、技术、服务或其任何一部分时，享有不受限制的无偿使用权，如有第三方向采购人提出侵犯其专利权、商标权或其它知识产权的主张，该责任由我方承担。我方的报价已包含所有应向所有权人支付的专利权、商标权或其它知识产权的一切相关费用。</w:t>
      </w:r>
    </w:p>
    <w:p>
      <w:pPr>
        <w:pStyle w:val="32"/>
        <w:keepNext w:val="0"/>
        <w:keepLines w:val="0"/>
        <w:numPr>
          <w:ilvl w:val="2"/>
          <w:numId w:val="0"/>
        </w:numPr>
        <w:autoSpaceDE w:val="0"/>
        <w:autoSpaceDN w:val="0"/>
        <w:adjustRightInd w:val="0"/>
        <w:snapToGrid w:val="0"/>
        <w:spacing w:before="0" w:after="0" w:line="360" w:lineRule="auto"/>
        <w:ind w:firstLine="480" w:firstLineChars="200"/>
        <w:jc w:val="left"/>
        <w:rPr>
          <w:rFonts w:hint="eastAsia" w:ascii="楷体" w:hAnsi="楷体" w:eastAsia="楷体" w:cs="楷体"/>
          <w:b w:val="0"/>
          <w:sz w:val="24"/>
          <w:szCs w:val="24"/>
        </w:rPr>
      </w:pPr>
      <w:r>
        <w:rPr>
          <w:rFonts w:hint="eastAsia" w:ascii="楷体" w:hAnsi="楷体" w:eastAsia="楷体" w:cs="楷体"/>
          <w:b w:val="0"/>
          <w:sz w:val="24"/>
          <w:szCs w:val="24"/>
        </w:rPr>
        <w:t>7、所有与本项目有关的函件请发往下列地址：</w:t>
      </w:r>
    </w:p>
    <w:p>
      <w:pPr>
        <w:tabs>
          <w:tab w:val="left" w:pos="406"/>
        </w:tabs>
        <w:adjustRightInd w:val="0"/>
        <w:spacing w:line="360" w:lineRule="auto"/>
        <w:rPr>
          <w:rFonts w:hint="eastAsia" w:ascii="楷体" w:hAnsi="楷体" w:eastAsia="楷体" w:cs="楷体"/>
          <w:color w:val="000000" w:themeColor="text1"/>
          <w:sz w:val="24"/>
          <w:u w:val="single"/>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 xml:space="preserve">地  址：                       邮政编码：              </w:t>
      </w:r>
    </w:p>
    <w:p>
      <w:pPr>
        <w:adjustRightInd w:val="0"/>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 xml:space="preserve">联系人：                       电    话：                              </w:t>
      </w:r>
    </w:p>
    <w:p>
      <w:pPr>
        <w:adjustRightInd w:val="0"/>
        <w:spacing w:line="360" w:lineRule="auto"/>
        <w:rPr>
          <w:rFonts w:hint="eastAsia" w:ascii="楷体" w:hAnsi="楷体" w:eastAsia="楷体" w:cs="楷体"/>
          <w:color w:val="000000" w:themeColor="text1"/>
          <w:sz w:val="24"/>
          <w:u w:val="single"/>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投标人名称（公章）：            法定代表人或授权代表（签名）：</w:t>
      </w:r>
    </w:p>
    <w:p>
      <w:pPr>
        <w:adjustRightInd w:val="0"/>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 xml:space="preserve">日期：    </w:t>
      </w:r>
      <w:r>
        <w:rPr>
          <w:rFonts w:hint="eastAsia" w:ascii="楷体" w:hAnsi="楷体" w:eastAsia="楷体" w:cs="楷体"/>
          <w:sz w:val="24"/>
        </w:rPr>
        <w:t>年   月   日</w:t>
      </w:r>
      <w:r>
        <w:rPr>
          <w:rFonts w:hint="eastAsia" w:ascii="楷体" w:hAnsi="楷体" w:eastAsia="楷体" w:cs="楷体"/>
          <w:color w:val="000000" w:themeColor="text1"/>
          <w:sz w:val="24"/>
          <w14:textFill>
            <w14:solidFill>
              <w14:schemeClr w14:val="tx1"/>
            </w14:solidFill>
          </w14:textFill>
        </w:rPr>
        <w:t xml:space="preserve">            </w:t>
      </w:r>
    </w:p>
    <w:p>
      <w:pPr>
        <w:adjustRightInd w:val="0"/>
        <w:jc w:val="left"/>
        <w:rPr>
          <w:rFonts w:hint="eastAsia" w:ascii="楷体" w:hAnsi="楷体" w:eastAsia="楷体" w:cs="楷体"/>
          <w:b/>
          <w:color w:val="000000" w:themeColor="text1"/>
          <w:sz w:val="24"/>
          <w14:textFill>
            <w14:solidFill>
              <w14:schemeClr w14:val="tx1"/>
            </w14:solidFill>
          </w14:textFill>
        </w:rPr>
      </w:pPr>
    </w:p>
    <w:p>
      <w:pPr>
        <w:adjustRightInd w:val="0"/>
        <w:jc w:val="left"/>
        <w:rPr>
          <w:rFonts w:hint="eastAsia" w:ascii="楷体" w:hAnsi="楷体" w:eastAsia="楷体" w:cs="楷体"/>
          <w:bCs/>
          <w:color w:val="000000" w:themeColor="text1"/>
          <w:sz w:val="24"/>
          <w14:textFill>
            <w14:solidFill>
              <w14:schemeClr w14:val="tx1"/>
            </w14:solidFill>
          </w14:textFill>
        </w:rPr>
      </w:pPr>
      <w:r>
        <w:rPr>
          <w:rFonts w:hint="eastAsia" w:ascii="楷体" w:hAnsi="楷体" w:eastAsia="楷体" w:cs="楷体"/>
          <w:bCs/>
          <w:color w:val="000000" w:themeColor="text1"/>
          <w:sz w:val="24"/>
          <w14:textFill>
            <w14:solidFill>
              <w14:schemeClr w14:val="tx1"/>
            </w14:solidFill>
          </w14:textFill>
        </w:rPr>
        <w:t>说明:本格式文件内容不得擅自删改。</w:t>
      </w:r>
      <w:bookmarkStart w:id="256" w:name="_Toc263670125"/>
      <w:bookmarkStart w:id="257" w:name="_Toc275440309"/>
    </w:p>
    <w:bookmarkEnd w:id="256"/>
    <w:bookmarkEnd w:id="257"/>
    <w:p>
      <w:pPr>
        <w:pStyle w:val="2"/>
        <w:keepNext w:val="0"/>
        <w:tabs>
          <w:tab w:val="left" w:pos="720"/>
        </w:tabs>
        <w:spacing w:before="156" w:beforeLines="50" w:after="156" w:afterLines="50"/>
        <w:jc w:val="both"/>
        <w:rPr>
          <w:rFonts w:hint="eastAsia" w:ascii="楷体" w:hAnsi="楷体" w:eastAsia="楷体" w:cs="楷体"/>
          <w:color w:val="000000" w:themeColor="text1"/>
          <w:szCs w:val="21"/>
          <w14:textFill>
            <w14:solidFill>
              <w14:schemeClr w14:val="tx1"/>
            </w14:solidFill>
          </w14:textFill>
        </w:rPr>
      </w:pPr>
      <w:bookmarkStart w:id="258" w:name="_Toc30513"/>
      <w:bookmarkStart w:id="259" w:name="_Toc445120969"/>
      <w:bookmarkStart w:id="260" w:name="_Toc521081301"/>
      <w:bookmarkStart w:id="261" w:name="_Toc400960191"/>
      <w:bookmarkStart w:id="262" w:name="_Toc397676797"/>
      <w:bookmarkStart w:id="263" w:name="_Toc322033407"/>
      <w:r>
        <w:rPr>
          <w:rFonts w:hint="eastAsia" w:ascii="楷体" w:hAnsi="楷体" w:eastAsia="楷体" w:cs="楷体"/>
          <w:b w:val="0"/>
          <w:color w:val="000000" w:themeColor="text1"/>
          <w:sz w:val="30"/>
          <w:szCs w:val="30"/>
          <w14:textFill>
            <w14:solidFill>
              <w14:schemeClr w14:val="tx1"/>
            </w14:solidFill>
          </w14:textFill>
        </w:rPr>
        <w:t>附件3、投标人资格声明函</w:t>
      </w:r>
    </w:p>
    <w:p>
      <w:pPr>
        <w:pStyle w:val="31"/>
        <w:spacing w:line="336" w:lineRule="auto"/>
        <w:ind w:right="84" w:rightChars="40"/>
        <w:jc w:val="center"/>
        <w:rPr>
          <w:rFonts w:hint="eastAsia" w:ascii="楷体" w:hAnsi="楷体" w:eastAsia="楷体" w:cs="楷体"/>
          <w:sz w:val="24"/>
          <w:szCs w:val="24"/>
        </w:rPr>
      </w:pPr>
      <w:r>
        <w:rPr>
          <w:rFonts w:hint="eastAsia" w:ascii="楷体" w:hAnsi="楷体" w:eastAsia="楷体" w:cs="楷体"/>
          <w:b/>
          <w:bCs/>
          <w:sz w:val="24"/>
          <w:szCs w:val="24"/>
        </w:rPr>
        <w:t>投标人资格声明函</w:t>
      </w:r>
    </w:p>
    <w:p>
      <w:pPr>
        <w:pStyle w:val="31"/>
        <w:spacing w:line="360" w:lineRule="auto"/>
        <w:ind w:right="84" w:rightChars="40"/>
        <w:rPr>
          <w:rFonts w:hint="eastAsia" w:ascii="楷体" w:hAnsi="楷体" w:eastAsia="楷体" w:cs="楷体"/>
          <w:sz w:val="24"/>
          <w:szCs w:val="24"/>
        </w:rPr>
      </w:pPr>
      <w:r>
        <w:rPr>
          <w:rFonts w:hint="eastAsia" w:ascii="楷体" w:hAnsi="楷体" w:eastAsia="楷体" w:cs="楷体"/>
          <w:sz w:val="24"/>
          <w:szCs w:val="24"/>
        </w:rPr>
        <w:t>广东华建兴工程管理有限公司：</w:t>
      </w:r>
    </w:p>
    <w:p>
      <w:pPr>
        <w:pStyle w:val="31"/>
        <w:spacing w:line="360" w:lineRule="auto"/>
        <w:ind w:right="84" w:rightChars="40" w:firstLine="480" w:firstLineChars="200"/>
        <w:jc w:val="left"/>
        <w:rPr>
          <w:rFonts w:hint="eastAsia" w:ascii="楷体" w:hAnsi="楷体" w:eastAsia="楷体" w:cs="楷体"/>
          <w:sz w:val="24"/>
          <w:szCs w:val="24"/>
        </w:rPr>
      </w:pPr>
      <w:r>
        <w:rPr>
          <w:rFonts w:hint="eastAsia" w:ascii="楷体" w:hAnsi="楷体" w:eastAsia="楷体" w:cs="楷体"/>
          <w:sz w:val="24"/>
          <w:szCs w:val="24"/>
        </w:rPr>
        <w:t>关于贵方　 　年　　月　　日发布关于“联邦工业城 A8 幢厂房更换电梯项目”（项目编号：HJX20230325-01）的招标公告，我方愿意参加投标，并已清楚招标文件的要求及有关文件规定：</w:t>
      </w:r>
    </w:p>
    <w:p>
      <w:pPr>
        <w:pStyle w:val="31"/>
        <w:spacing w:line="360" w:lineRule="auto"/>
        <w:ind w:right="84" w:rightChars="40" w:firstLine="480" w:firstLineChars="200"/>
        <w:jc w:val="left"/>
        <w:rPr>
          <w:rFonts w:hint="eastAsia" w:ascii="楷体" w:hAnsi="楷体" w:eastAsia="楷体" w:cs="楷体"/>
          <w:sz w:val="24"/>
          <w:szCs w:val="24"/>
        </w:rPr>
      </w:pPr>
      <w:r>
        <w:rPr>
          <w:rFonts w:hint="eastAsia" w:ascii="楷体" w:hAnsi="楷体" w:eastAsia="楷体" w:cs="楷体"/>
          <w:sz w:val="24"/>
          <w:szCs w:val="24"/>
        </w:rPr>
        <w:t>我方具备以下条件。</w:t>
      </w:r>
    </w:p>
    <w:p>
      <w:pPr>
        <w:autoSpaceDE w:val="0"/>
        <w:autoSpaceDN w:val="0"/>
        <w:spacing w:line="360" w:lineRule="auto"/>
        <w:ind w:firstLine="480" w:firstLineChars="200"/>
        <w:contextualSpacing/>
        <w:rPr>
          <w:rFonts w:hint="eastAsia" w:ascii="楷体" w:hAnsi="楷体" w:eastAsia="楷体" w:cs="楷体"/>
          <w:sz w:val="24"/>
        </w:rPr>
      </w:pPr>
      <w:r>
        <w:rPr>
          <w:rFonts w:hint="eastAsia" w:ascii="楷体" w:hAnsi="楷体" w:eastAsia="楷体" w:cs="楷体"/>
          <w:color w:val="000000"/>
          <w:sz w:val="24"/>
        </w:rPr>
        <w:t>1、具有独立承担民事责任的能力（</w:t>
      </w:r>
      <w:r>
        <w:rPr>
          <w:rFonts w:hint="eastAsia" w:ascii="楷体" w:hAnsi="楷体" w:eastAsia="楷体" w:cs="楷体"/>
          <w:sz w:val="24"/>
        </w:rPr>
        <w:t>提供以下相关证照的扫描件：1.企业法人提供企业法人营业执照；2.事业法人提供事业法人登记证；3.其他组织提供其他组织的营业执照或执业许可证）。</w:t>
      </w:r>
    </w:p>
    <w:p>
      <w:pPr>
        <w:autoSpaceDE w:val="0"/>
        <w:autoSpaceDN w:val="0"/>
        <w:spacing w:line="360" w:lineRule="auto"/>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 xml:space="preserve">2、具有履行合同所必需的设备和专业技术能力。 </w:t>
      </w:r>
    </w:p>
    <w:p>
      <w:pPr>
        <w:autoSpaceDE w:val="0"/>
        <w:autoSpaceDN w:val="0"/>
        <w:spacing w:line="360" w:lineRule="auto"/>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3、</w:t>
      </w:r>
      <w:r>
        <w:rPr>
          <w:rFonts w:hint="eastAsia" w:ascii="楷体" w:hAnsi="楷体" w:eastAsia="楷体" w:cs="楷体"/>
          <w:sz w:val="24"/>
        </w:rPr>
        <w:t>在经营活动中没有重大违法记录。</w:t>
      </w:r>
    </w:p>
    <w:p>
      <w:pPr>
        <w:autoSpaceDE w:val="0"/>
        <w:autoSpaceDN w:val="0"/>
        <w:spacing w:line="360" w:lineRule="auto"/>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4、具有《中华人民共和国特种设备生产许可证》电梯安装 (含修理) 或《中华人民共和国特种设备安装改造维修许可证》(电梯) 资质(提供有效证件的扫描件)。</w:t>
      </w:r>
    </w:p>
    <w:p>
      <w:pPr>
        <w:autoSpaceDE w:val="0"/>
        <w:autoSpaceDN w:val="0"/>
        <w:spacing w:line="360" w:lineRule="auto"/>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5、我方法定代表人或单位负责人与参加本项目投标的其他供应商不为同一个人或者不存在直接控股、管理关系。</w:t>
      </w:r>
    </w:p>
    <w:p>
      <w:pPr>
        <w:autoSpaceDE w:val="0"/>
        <w:autoSpaceDN w:val="0"/>
        <w:spacing w:line="360" w:lineRule="auto"/>
        <w:ind w:firstLine="480" w:firstLineChars="200"/>
        <w:contextualSpacing/>
        <w:rPr>
          <w:rFonts w:hint="eastAsia" w:ascii="楷体" w:hAnsi="楷体" w:eastAsia="楷体" w:cs="楷体"/>
          <w:color w:val="000000"/>
          <w:sz w:val="24"/>
        </w:rPr>
      </w:pPr>
      <w:r>
        <w:rPr>
          <w:rFonts w:hint="eastAsia" w:ascii="楷体" w:hAnsi="楷体" w:eastAsia="楷体" w:cs="楷体"/>
          <w:color w:val="000000"/>
          <w:sz w:val="24"/>
        </w:rPr>
        <w:t>6、我方并非为本项目提供整体设计、规范编制或者项目管理、监理、检测等服务的供应商。</w:t>
      </w:r>
    </w:p>
    <w:p>
      <w:pPr>
        <w:pStyle w:val="31"/>
        <w:spacing w:line="360" w:lineRule="auto"/>
        <w:ind w:right="84" w:rightChars="40" w:firstLine="480" w:firstLineChars="200"/>
        <w:jc w:val="left"/>
        <w:rPr>
          <w:rFonts w:hint="eastAsia" w:ascii="楷体" w:hAnsi="楷体" w:eastAsia="楷体" w:cs="楷体"/>
          <w:sz w:val="24"/>
          <w:szCs w:val="24"/>
        </w:rPr>
      </w:pPr>
      <w:r>
        <w:rPr>
          <w:rFonts w:hint="eastAsia" w:ascii="楷体" w:hAnsi="楷体" w:eastAsia="楷体" w:cs="楷体"/>
          <w:sz w:val="24"/>
          <w:szCs w:val="24"/>
        </w:rPr>
        <w:t>7、法律、行政法规规定的其他条件。</w:t>
      </w:r>
    </w:p>
    <w:p>
      <w:pPr>
        <w:pStyle w:val="31"/>
        <w:spacing w:line="360" w:lineRule="auto"/>
        <w:ind w:right="-92" w:rightChars="-44" w:firstLine="480" w:firstLineChars="200"/>
        <w:jc w:val="left"/>
        <w:rPr>
          <w:rFonts w:hint="eastAsia" w:ascii="楷体" w:hAnsi="楷体" w:eastAsia="楷体" w:cs="楷体"/>
          <w:sz w:val="24"/>
          <w:szCs w:val="24"/>
        </w:rPr>
      </w:pPr>
      <w:r>
        <w:rPr>
          <w:rFonts w:hint="eastAsia" w:ascii="楷体" w:hAnsi="楷体" w:eastAsia="楷体" w:cs="楷体"/>
          <w:sz w:val="24"/>
          <w:szCs w:val="24"/>
        </w:rPr>
        <w:t>本次招标采购活动中，如有违法、违规、弄虚作假行为，所造成的损失、不良后果及法律责任，一律由我方承担。</w:t>
      </w:r>
    </w:p>
    <w:p>
      <w:pPr>
        <w:pStyle w:val="31"/>
        <w:spacing w:line="360" w:lineRule="auto"/>
        <w:ind w:right="84" w:rightChars="40" w:firstLine="480" w:firstLineChars="200"/>
        <w:jc w:val="left"/>
        <w:rPr>
          <w:rFonts w:hint="eastAsia" w:ascii="楷体" w:hAnsi="楷体" w:eastAsia="楷体" w:cs="楷体"/>
          <w:color w:val="000000" w:themeColor="text1"/>
          <w:sz w:val="24"/>
          <w:szCs w:val="24"/>
          <w14:textFill>
            <w14:solidFill>
              <w14:schemeClr w14:val="tx1"/>
            </w14:solidFill>
          </w14:textFill>
        </w:rPr>
      </w:pPr>
      <w:r>
        <w:rPr>
          <w:rFonts w:hint="eastAsia" w:ascii="楷体" w:hAnsi="楷体" w:eastAsia="楷体" w:cs="楷体"/>
          <w:sz w:val="24"/>
          <w:szCs w:val="24"/>
        </w:rPr>
        <w:t>特此声明！</w:t>
      </w:r>
    </w:p>
    <w:p>
      <w:pPr>
        <w:adjustRightInd w:val="0"/>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 xml:space="preserve">投标人名称（公章）：                  </w:t>
      </w:r>
    </w:p>
    <w:p>
      <w:pPr>
        <w:adjustRightInd w:val="0"/>
        <w:spacing w:line="360" w:lineRule="auto"/>
        <w:rPr>
          <w:rFonts w:hint="eastAsia" w:ascii="楷体" w:hAnsi="楷体" w:eastAsia="楷体" w:cs="楷体"/>
          <w:color w:val="000000" w:themeColor="text1"/>
          <w:sz w:val="24"/>
          <w:u w:val="single"/>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法定代表人或授权代表（签名）：</w:t>
      </w:r>
    </w:p>
    <w:p>
      <w:pPr>
        <w:pStyle w:val="31"/>
        <w:spacing w:line="360" w:lineRule="auto"/>
        <w:ind w:right="84" w:rightChars="40"/>
        <w:jc w:val="left"/>
        <w:rPr>
          <w:rFonts w:hint="eastAsia" w:ascii="楷体" w:hAnsi="楷体" w:eastAsia="楷体" w:cs="楷体"/>
          <w:sz w:val="24"/>
          <w:szCs w:val="24"/>
        </w:rPr>
      </w:pPr>
      <w:r>
        <w:rPr>
          <w:rFonts w:hint="eastAsia" w:ascii="楷体" w:hAnsi="楷体" w:eastAsia="楷体" w:cs="楷体"/>
          <w:sz w:val="24"/>
          <w:szCs w:val="24"/>
        </w:rPr>
        <w:t>日期：   年   月   日</w:t>
      </w:r>
    </w:p>
    <w:p>
      <w:pPr>
        <w:pStyle w:val="31"/>
        <w:spacing w:line="336" w:lineRule="auto"/>
        <w:ind w:right="84" w:rightChars="40"/>
        <w:jc w:val="left"/>
        <w:rPr>
          <w:rFonts w:hint="eastAsia" w:ascii="楷体" w:hAnsi="楷体" w:eastAsia="楷体" w:cs="楷体"/>
          <w:sz w:val="24"/>
          <w:szCs w:val="24"/>
        </w:rPr>
      </w:pPr>
    </w:p>
    <w:p>
      <w:pPr>
        <w:pStyle w:val="31"/>
        <w:spacing w:line="336" w:lineRule="auto"/>
        <w:ind w:right="84" w:rightChars="40"/>
        <w:jc w:val="left"/>
        <w:rPr>
          <w:rFonts w:hint="eastAsia" w:ascii="楷体" w:hAnsi="楷体" w:eastAsia="楷体" w:cs="楷体"/>
          <w:sz w:val="24"/>
          <w:szCs w:val="24"/>
        </w:rPr>
      </w:pPr>
      <w:r>
        <w:rPr>
          <w:rFonts w:hint="eastAsia" w:ascii="楷体" w:hAnsi="楷体" w:eastAsia="楷体" w:cs="楷体"/>
          <w:sz w:val="24"/>
          <w:szCs w:val="24"/>
        </w:rPr>
        <w:t>说明：本格式文件内容不得擅自删改。</w:t>
      </w:r>
    </w:p>
    <w:p>
      <w:pPr>
        <w:pStyle w:val="2"/>
        <w:keepNext w:val="0"/>
        <w:tabs>
          <w:tab w:val="left" w:pos="720"/>
        </w:tabs>
        <w:spacing w:before="156" w:beforeLines="50" w:after="156" w:afterLines="50"/>
        <w:jc w:val="both"/>
        <w:rPr>
          <w:rFonts w:hint="eastAsia" w:ascii="楷体" w:hAnsi="楷体" w:eastAsia="楷体" w:cs="楷体"/>
          <w:b w:val="0"/>
          <w:color w:val="000000" w:themeColor="text1"/>
          <w:sz w:val="30"/>
          <w:szCs w:val="30"/>
          <w:u w:val="single"/>
          <w14:textFill>
            <w14:solidFill>
              <w14:schemeClr w14:val="tx1"/>
            </w14:solidFill>
          </w14:textFill>
        </w:rPr>
      </w:pPr>
      <w:r>
        <w:rPr>
          <w:rFonts w:hint="eastAsia" w:ascii="楷体" w:hAnsi="楷体" w:eastAsia="楷体" w:cs="楷体"/>
          <w:b w:val="0"/>
          <w:color w:val="000000" w:themeColor="text1"/>
          <w:sz w:val="30"/>
          <w:szCs w:val="30"/>
          <w14:textFill>
            <w14:solidFill>
              <w14:schemeClr w14:val="tx1"/>
            </w14:solidFill>
          </w14:textFill>
        </w:rPr>
        <w:t>附件</w:t>
      </w:r>
      <w:bookmarkStart w:id="264" w:name="_Toc270329853"/>
      <w:r>
        <w:rPr>
          <w:rFonts w:hint="eastAsia" w:ascii="楷体" w:hAnsi="楷体" w:eastAsia="楷体" w:cs="楷体"/>
          <w:b w:val="0"/>
          <w:color w:val="000000" w:themeColor="text1"/>
          <w:sz w:val="30"/>
          <w:szCs w:val="30"/>
          <w14:textFill>
            <w14:solidFill>
              <w14:schemeClr w14:val="tx1"/>
            </w14:solidFill>
          </w14:textFill>
        </w:rPr>
        <w:t>4、法定代表人证明书</w:t>
      </w:r>
      <w:bookmarkEnd w:id="258"/>
      <w:bookmarkEnd w:id="259"/>
      <w:bookmarkEnd w:id="260"/>
      <w:bookmarkEnd w:id="261"/>
      <w:bookmarkEnd w:id="262"/>
      <w:bookmarkEnd w:id="263"/>
      <w:bookmarkEnd w:id="264"/>
    </w:p>
    <w:p>
      <w:pPr>
        <w:spacing w:line="360" w:lineRule="auto"/>
        <w:jc w:val="center"/>
        <w:rPr>
          <w:rFonts w:hint="eastAsia" w:ascii="楷体" w:hAnsi="楷体" w:eastAsia="楷体" w:cs="楷体"/>
          <w:b/>
          <w:bCs/>
          <w:color w:val="000000" w:themeColor="text1"/>
          <w:sz w:val="24"/>
          <w14:textFill>
            <w14:solidFill>
              <w14:schemeClr w14:val="tx1"/>
            </w14:solidFill>
          </w14:textFill>
        </w:rPr>
      </w:pPr>
      <w:r>
        <w:rPr>
          <w:rFonts w:hint="eastAsia" w:ascii="楷体" w:hAnsi="楷体" w:eastAsia="楷体" w:cs="楷体"/>
          <w:b/>
          <w:bCs/>
          <w:sz w:val="24"/>
        </w:rPr>
        <w:t>法定代表人证明书</w:t>
      </w:r>
    </w:p>
    <w:p>
      <w:pPr>
        <w:spacing w:line="360" w:lineRule="auto"/>
        <w:rPr>
          <w:rFonts w:hint="eastAsia" w:ascii="楷体" w:hAnsi="楷体" w:eastAsia="楷体" w:cs="楷体"/>
          <w:color w:val="000000" w:themeColor="text1"/>
          <w:szCs w:val="21"/>
          <w14:textFill>
            <w14:solidFill>
              <w14:schemeClr w14:val="tx1"/>
            </w14:solidFill>
          </w14:textFill>
        </w:rPr>
      </w:pPr>
      <w:r>
        <w:rPr>
          <w:rFonts w:hint="eastAsia" w:ascii="楷体" w:hAnsi="楷体" w:eastAsia="楷体" w:cs="楷体"/>
          <w:color w:val="000000" w:themeColor="text1"/>
          <w:szCs w:val="21"/>
          <w14:textFill>
            <w14:solidFill>
              <w14:schemeClr w14:val="tx1"/>
            </w14:solidFill>
          </w14:textFill>
        </w:rPr>
        <w:t xml:space="preserve"> </w:t>
      </w:r>
    </w:p>
    <w:p>
      <w:pPr>
        <w:tabs>
          <w:tab w:val="left" w:pos="900"/>
        </w:tabs>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u w:val="single"/>
          <w14:textFill>
            <w14:solidFill>
              <w14:schemeClr w14:val="tx1"/>
            </w14:solidFill>
          </w14:textFill>
        </w:rPr>
        <w:t xml:space="preserve">        </w:t>
      </w:r>
      <w:r>
        <w:rPr>
          <w:rFonts w:hint="eastAsia" w:ascii="楷体" w:hAnsi="楷体" w:eastAsia="楷体" w:cs="楷体"/>
          <w:color w:val="000000" w:themeColor="text1"/>
          <w:sz w:val="24"/>
          <w14:textFill>
            <w14:solidFill>
              <w14:schemeClr w14:val="tx1"/>
            </w14:solidFill>
          </w14:textFill>
        </w:rPr>
        <w:t>同志，现任我单位</w:t>
      </w:r>
      <w:r>
        <w:rPr>
          <w:rFonts w:hint="eastAsia" w:ascii="楷体" w:hAnsi="楷体" w:eastAsia="楷体" w:cs="楷体"/>
          <w:color w:val="000000" w:themeColor="text1"/>
          <w:sz w:val="24"/>
          <w:u w:val="single"/>
          <w14:textFill>
            <w14:solidFill>
              <w14:schemeClr w14:val="tx1"/>
            </w14:solidFill>
          </w14:textFill>
        </w:rPr>
        <w:t xml:space="preserve">          </w:t>
      </w:r>
      <w:r>
        <w:rPr>
          <w:rFonts w:hint="eastAsia" w:ascii="楷体" w:hAnsi="楷体" w:eastAsia="楷体" w:cs="楷体"/>
          <w:color w:val="000000" w:themeColor="text1"/>
          <w:sz w:val="24"/>
          <w14:textFill>
            <w14:solidFill>
              <w14:schemeClr w14:val="tx1"/>
            </w14:solidFill>
          </w14:textFill>
        </w:rPr>
        <w:t>职务，为法定代表人，特此证明。本证明有效期</w:t>
      </w:r>
      <w:r>
        <w:rPr>
          <w:rFonts w:hint="eastAsia" w:ascii="楷体" w:hAnsi="楷体" w:eastAsia="楷体" w:cs="楷体"/>
          <w:sz w:val="24"/>
          <w:lang w:val="en-GB"/>
        </w:rPr>
        <w:t>与我方投标文件中标注的投标有效期相同，自签章之日起生效。</w:t>
      </w:r>
      <w:r>
        <w:rPr>
          <w:rFonts w:hint="eastAsia" w:ascii="楷体" w:hAnsi="楷体" w:eastAsia="楷体" w:cs="楷体"/>
          <w:color w:val="000000" w:themeColor="text1"/>
          <w:sz w:val="24"/>
          <w14:textFill>
            <w14:solidFill>
              <w14:schemeClr w14:val="tx1"/>
            </w14:solidFill>
          </w14:textFill>
        </w:rPr>
        <w:t xml:space="preserve">  </w:t>
      </w:r>
    </w:p>
    <w:p>
      <w:pPr>
        <w:pStyle w:val="35"/>
        <w:spacing w:line="360" w:lineRule="auto"/>
        <w:ind w:firstLine="480" w:firstLineChars="200"/>
        <w:rPr>
          <w:rFonts w:hint="eastAsia" w:ascii="楷体" w:hAnsi="楷体" w:eastAsia="楷体" w:cs="楷体"/>
          <w:color w:val="000000" w:themeColor="text1"/>
          <w:szCs w:val="21"/>
          <w14:textFill>
            <w14:solidFill>
              <w14:schemeClr w14:val="tx1"/>
            </w14:solidFill>
          </w14:textFill>
        </w:rPr>
      </w:pPr>
      <w:r>
        <w:rPr>
          <w:rFonts w:hint="eastAsia" w:ascii="楷体" w:hAnsi="楷体" w:eastAsia="楷体" w:cs="楷体"/>
          <w:sz w:val="24"/>
          <w:szCs w:val="24"/>
        </w:rPr>
        <w:t xml:space="preserve">附：法定代表人身份证复印件                     </w:t>
      </w:r>
    </w:p>
    <w:p>
      <w:pPr>
        <w:spacing w:line="360" w:lineRule="auto"/>
        <w:rPr>
          <w:rFonts w:hint="eastAsia" w:ascii="楷体" w:hAnsi="楷体" w:eastAsia="楷体" w:cs="楷体"/>
          <w:b/>
          <w:bCs/>
          <w:color w:val="000000" w:themeColor="text1"/>
          <w:szCs w:val="21"/>
          <w14:textFill>
            <w14:solidFill>
              <w14:schemeClr w14:val="tx1"/>
            </w14:solidFill>
          </w14:textFill>
        </w:rPr>
      </w:pPr>
    </w:p>
    <w:p>
      <w:pPr>
        <w:spacing w:line="360" w:lineRule="auto"/>
        <w:rPr>
          <w:rFonts w:hint="eastAsia" w:ascii="楷体" w:hAnsi="楷体" w:eastAsia="楷体" w:cs="楷体"/>
          <w:b/>
          <w:bCs/>
          <w:color w:val="000000" w:themeColor="text1"/>
          <w:szCs w:val="21"/>
          <w14:textFill>
            <w14:solidFill>
              <w14:schemeClr w14:val="tx1"/>
            </w14:solidFill>
          </w14:textFill>
        </w:rPr>
      </w:pPr>
      <w:r>
        <w:rPr>
          <w:rFonts w:hint="eastAsia" w:ascii="楷体" w:hAnsi="楷体" w:eastAsia="楷体" w:cs="楷体"/>
          <w:b/>
          <w:bCs/>
          <w:color w:val="000000" w:themeColor="text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195580</wp:posOffset>
                </wp:positionH>
                <wp:positionV relativeFrom="paragraph">
                  <wp:posOffset>635</wp:posOffset>
                </wp:positionV>
                <wp:extent cx="3886200" cy="1971040"/>
                <wp:effectExtent l="4445" t="4445" r="8255" b="5715"/>
                <wp:wrapNone/>
                <wp:docPr id="4" name="AutoShape 5"/>
                <wp:cNvGraphicFramePr/>
                <a:graphic xmlns:a="http://schemas.openxmlformats.org/drawingml/2006/main">
                  <a:graphicData uri="http://schemas.microsoft.com/office/word/2010/wordprocessingShape">
                    <wps:wsp>
                      <wps:cNvSpPr>
                        <a:spLocks noChangeArrowheads="1"/>
                      </wps:cNvSpPr>
                      <wps:spPr bwMode="auto">
                        <a:xfrm>
                          <a:off x="0" y="0"/>
                          <a:ext cx="3886200" cy="1971040"/>
                        </a:xfrm>
                        <a:prstGeom prst="flowChartAlternateProcess">
                          <a:avLst/>
                        </a:prstGeom>
                        <a:solidFill>
                          <a:srgbClr val="FFFFFF"/>
                        </a:solidFill>
                        <a:ln w="9525">
                          <a:solidFill>
                            <a:srgbClr val="000000"/>
                          </a:solidFill>
                          <a:miter lim="800000"/>
                        </a:ln>
                      </wps:spPr>
                      <wps:txbx>
                        <w:txbxContent>
                          <w:p>
                            <w:pPr>
                              <w:jc w:val="center"/>
                              <w:rPr>
                                <w:rFonts w:hAnsi="宋体"/>
                                <w:szCs w:val="21"/>
                              </w:rPr>
                            </w:pPr>
                          </w:p>
                          <w:p>
                            <w:pPr>
                              <w:jc w:val="center"/>
                              <w:rPr>
                                <w:rFonts w:hAnsi="宋体"/>
                                <w:szCs w:val="21"/>
                              </w:rPr>
                            </w:pPr>
                          </w:p>
                          <w:p>
                            <w:pPr>
                              <w:spacing w:line="360" w:lineRule="auto"/>
                              <w:jc w:val="center"/>
                              <w:rPr>
                                <w:rFonts w:ascii="楷体" w:hAnsi="楷体" w:eastAsia="楷体" w:cs="楷体"/>
                                <w:sz w:val="24"/>
                              </w:rPr>
                            </w:pPr>
                            <w:r>
                              <w:rPr>
                                <w:rFonts w:hint="eastAsia" w:ascii="楷体" w:hAnsi="楷体" w:eastAsia="楷体" w:cs="楷体"/>
                                <w:sz w:val="24"/>
                              </w:rPr>
                              <w:t>法定代表人身份证复印件贴于此处</w:t>
                            </w:r>
                          </w:p>
                          <w:p>
                            <w:pPr>
                              <w:spacing w:line="360" w:lineRule="auto"/>
                              <w:jc w:val="center"/>
                              <w:rPr>
                                <w:rFonts w:ascii="楷体" w:hAnsi="楷体" w:eastAsia="楷体" w:cs="楷体"/>
                                <w:sz w:val="24"/>
                              </w:rPr>
                            </w:pPr>
                          </w:p>
                          <w:p>
                            <w:pPr>
                              <w:spacing w:line="360" w:lineRule="auto"/>
                              <w:jc w:val="left"/>
                              <w:rPr>
                                <w:rFonts w:ascii="宋体" w:hAnsi="宋体"/>
                                <w:b/>
                                <w:bCs/>
                                <w:color w:val="000000"/>
                                <w:sz w:val="24"/>
                              </w:rPr>
                            </w:pPr>
                            <w:r>
                              <w:rPr>
                                <w:rFonts w:hint="eastAsia" w:ascii="楷体" w:hAnsi="楷体" w:eastAsia="楷体" w:cs="楷体"/>
                                <w:b/>
                                <w:sz w:val="24"/>
                              </w:rPr>
                              <w:t>(为避免废标，请投标人务必提供身份证复印件)</w:t>
                            </w:r>
                          </w:p>
                          <w:p>
                            <w:pPr>
                              <w:jc w:val="center"/>
                              <w:rPr>
                                <w:szCs w:val="21"/>
                              </w:rPr>
                            </w:pPr>
                          </w:p>
                        </w:txbxContent>
                      </wps:txbx>
                      <wps:bodyPr rot="0" vert="horz" wrap="square" lIns="91440" tIns="45720" rIns="91440" bIns="45720" anchor="t" anchorCtr="0" upright="1">
                        <a:noAutofit/>
                      </wps:bodyPr>
                    </wps:wsp>
                  </a:graphicData>
                </a:graphic>
              </wp:anchor>
            </w:drawing>
          </mc:Choice>
          <mc:Fallback>
            <w:pict>
              <v:shape id="AutoShape 5" o:spid="_x0000_s1026" o:spt="176" type="#_x0000_t176" style="position:absolute;left:0pt;margin-left:15.4pt;margin-top:0.05pt;height:155.2pt;width:306pt;z-index:251659264;mso-width-relative:page;mso-height-relative:page;" fillcolor="#FFFFFF" filled="t" stroked="t" coordsize="21600,21600" o:gfxdata="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TfixTTAAAABwEAAA8AAAAAAAAAAQAgAAAAIgAAAGRycy9kb3ducmV2&#10;LnhtbFBLAQIUABQAAAAIAIdO4kDIIqfuOgIAAJMEAAAOAAAAAAAAAAEAIAAAACIBAABkcnMvZTJv&#10;RG9jLnhtbFBLBQYAAAAABgAGAFkBAADOBQAAAAA=&#10;">
                <v:fill on="t" focussize="0,0"/>
                <v:stroke color="#000000" miterlimit="8" joinstyle="miter"/>
                <v:imagedata o:title=""/>
                <o:lock v:ext="edit" aspectratio="f"/>
                <v:textbox>
                  <w:txbxContent>
                    <w:p>
                      <w:pPr>
                        <w:jc w:val="center"/>
                        <w:rPr>
                          <w:rFonts w:hAnsi="宋体"/>
                          <w:szCs w:val="21"/>
                        </w:rPr>
                      </w:pPr>
                    </w:p>
                    <w:p>
                      <w:pPr>
                        <w:jc w:val="center"/>
                        <w:rPr>
                          <w:rFonts w:hAnsi="宋体"/>
                          <w:szCs w:val="21"/>
                        </w:rPr>
                      </w:pPr>
                    </w:p>
                    <w:p>
                      <w:pPr>
                        <w:spacing w:line="360" w:lineRule="auto"/>
                        <w:jc w:val="center"/>
                        <w:rPr>
                          <w:rFonts w:ascii="楷体" w:hAnsi="楷体" w:eastAsia="楷体" w:cs="楷体"/>
                          <w:sz w:val="24"/>
                        </w:rPr>
                      </w:pPr>
                      <w:r>
                        <w:rPr>
                          <w:rFonts w:hint="eastAsia" w:ascii="楷体" w:hAnsi="楷体" w:eastAsia="楷体" w:cs="楷体"/>
                          <w:sz w:val="24"/>
                        </w:rPr>
                        <w:t>法定代表人身份证复印件贴于此处</w:t>
                      </w:r>
                    </w:p>
                    <w:p>
                      <w:pPr>
                        <w:spacing w:line="360" w:lineRule="auto"/>
                        <w:jc w:val="center"/>
                        <w:rPr>
                          <w:rFonts w:ascii="楷体" w:hAnsi="楷体" w:eastAsia="楷体" w:cs="楷体"/>
                          <w:sz w:val="24"/>
                        </w:rPr>
                      </w:pPr>
                    </w:p>
                    <w:p>
                      <w:pPr>
                        <w:spacing w:line="360" w:lineRule="auto"/>
                        <w:jc w:val="left"/>
                        <w:rPr>
                          <w:rFonts w:ascii="宋体" w:hAnsi="宋体"/>
                          <w:b/>
                          <w:bCs/>
                          <w:color w:val="000000"/>
                          <w:sz w:val="24"/>
                        </w:rPr>
                      </w:pPr>
                      <w:r>
                        <w:rPr>
                          <w:rFonts w:hint="eastAsia" w:ascii="楷体" w:hAnsi="楷体" w:eastAsia="楷体" w:cs="楷体"/>
                          <w:b/>
                          <w:sz w:val="24"/>
                        </w:rPr>
                        <w:t>(为避免废标，请投标人务必提供身份证复印件)</w:t>
                      </w:r>
                    </w:p>
                    <w:p>
                      <w:pPr>
                        <w:jc w:val="center"/>
                        <w:rPr>
                          <w:szCs w:val="21"/>
                        </w:rPr>
                      </w:pPr>
                    </w:p>
                  </w:txbxContent>
                </v:textbox>
              </v:shape>
            </w:pict>
          </mc:Fallback>
        </mc:AlternateContent>
      </w:r>
    </w:p>
    <w:p>
      <w:pPr>
        <w:spacing w:line="360" w:lineRule="auto"/>
        <w:rPr>
          <w:rFonts w:hint="eastAsia" w:ascii="楷体" w:hAnsi="楷体" w:eastAsia="楷体" w:cs="楷体"/>
          <w:b/>
          <w:bCs/>
          <w:color w:val="000000" w:themeColor="text1"/>
          <w:szCs w:val="21"/>
          <w14:textFill>
            <w14:solidFill>
              <w14:schemeClr w14:val="tx1"/>
            </w14:solidFill>
          </w14:textFill>
        </w:rPr>
      </w:pPr>
    </w:p>
    <w:p>
      <w:pPr>
        <w:spacing w:line="360" w:lineRule="auto"/>
        <w:rPr>
          <w:rFonts w:hint="eastAsia" w:ascii="楷体" w:hAnsi="楷体" w:eastAsia="楷体" w:cs="楷体"/>
          <w:b/>
          <w:bCs/>
          <w:color w:val="000000" w:themeColor="text1"/>
          <w:szCs w:val="21"/>
          <w14:textFill>
            <w14:solidFill>
              <w14:schemeClr w14:val="tx1"/>
            </w14:solidFill>
          </w14:textFill>
        </w:rPr>
      </w:pPr>
    </w:p>
    <w:p>
      <w:pPr>
        <w:spacing w:line="360" w:lineRule="auto"/>
        <w:rPr>
          <w:rFonts w:hint="eastAsia" w:ascii="楷体" w:hAnsi="楷体" w:eastAsia="楷体" w:cs="楷体"/>
          <w:b/>
          <w:bCs/>
          <w:color w:val="000000" w:themeColor="text1"/>
          <w:szCs w:val="21"/>
          <w14:textFill>
            <w14:solidFill>
              <w14:schemeClr w14:val="tx1"/>
            </w14:solidFill>
          </w14:textFill>
        </w:rPr>
      </w:pPr>
    </w:p>
    <w:p>
      <w:pPr>
        <w:spacing w:line="360" w:lineRule="auto"/>
        <w:rPr>
          <w:rFonts w:hint="eastAsia" w:ascii="楷体" w:hAnsi="楷体" w:eastAsia="楷体" w:cs="楷体"/>
          <w:b/>
          <w:bCs/>
          <w:color w:val="000000" w:themeColor="text1"/>
          <w:szCs w:val="21"/>
          <w14:textFill>
            <w14:solidFill>
              <w14:schemeClr w14:val="tx1"/>
            </w14:solidFill>
          </w14:textFill>
        </w:rPr>
      </w:pPr>
    </w:p>
    <w:p>
      <w:pPr>
        <w:spacing w:line="360" w:lineRule="auto"/>
        <w:rPr>
          <w:rFonts w:hint="eastAsia" w:ascii="楷体" w:hAnsi="楷体" w:eastAsia="楷体" w:cs="楷体"/>
          <w:b/>
          <w:bCs/>
          <w:color w:val="000000" w:themeColor="text1"/>
          <w:szCs w:val="21"/>
          <w14:textFill>
            <w14:solidFill>
              <w14:schemeClr w14:val="tx1"/>
            </w14:solidFill>
          </w14:textFill>
        </w:rPr>
      </w:pPr>
    </w:p>
    <w:p>
      <w:pPr>
        <w:spacing w:line="360" w:lineRule="auto"/>
        <w:ind w:firstLine="315" w:firstLineChars="150"/>
        <w:jc w:val="left"/>
        <w:rPr>
          <w:rFonts w:hint="eastAsia" w:ascii="楷体" w:hAnsi="楷体" w:eastAsia="楷体" w:cs="楷体"/>
          <w:color w:val="000000" w:themeColor="text1"/>
          <w:szCs w:val="21"/>
          <w14:textFill>
            <w14:solidFill>
              <w14:schemeClr w14:val="tx1"/>
            </w14:solidFill>
          </w14:textFill>
        </w:rPr>
      </w:pPr>
    </w:p>
    <w:p>
      <w:pPr>
        <w:tabs>
          <w:tab w:val="left" w:pos="5040"/>
          <w:tab w:val="left" w:pos="5400"/>
        </w:tabs>
        <w:spacing w:line="360" w:lineRule="auto"/>
        <w:ind w:firstLine="315" w:firstLineChars="150"/>
        <w:jc w:val="left"/>
        <w:rPr>
          <w:rFonts w:hint="eastAsia" w:ascii="楷体" w:hAnsi="楷体" w:eastAsia="楷体" w:cs="楷体"/>
          <w:color w:val="000000" w:themeColor="text1"/>
          <w:szCs w:val="21"/>
          <w14:textFill>
            <w14:solidFill>
              <w14:schemeClr w14:val="tx1"/>
            </w14:solidFill>
          </w14:textFill>
        </w:rPr>
      </w:pPr>
    </w:p>
    <w:p>
      <w:pPr>
        <w:tabs>
          <w:tab w:val="left" w:pos="5040"/>
          <w:tab w:val="left" w:pos="5400"/>
        </w:tabs>
        <w:spacing w:line="360" w:lineRule="auto"/>
        <w:ind w:firstLine="315" w:firstLineChars="150"/>
        <w:jc w:val="left"/>
        <w:rPr>
          <w:rFonts w:hint="eastAsia" w:ascii="楷体" w:hAnsi="楷体" w:eastAsia="楷体" w:cs="楷体"/>
          <w:color w:val="000000" w:themeColor="text1"/>
          <w:szCs w:val="21"/>
          <w14:textFill>
            <w14:solidFill>
              <w14:schemeClr w14:val="tx1"/>
            </w14:solidFill>
          </w14:textFill>
        </w:rPr>
      </w:pPr>
    </w:p>
    <w:p>
      <w:pPr>
        <w:spacing w:line="360" w:lineRule="auto"/>
        <w:rPr>
          <w:rFonts w:hint="eastAsia" w:ascii="楷体" w:hAnsi="楷体" w:eastAsia="楷体" w:cs="楷体"/>
          <w:color w:val="000000" w:themeColor="text1"/>
          <w:sz w:val="24"/>
          <w14:textFill>
            <w14:solidFill>
              <w14:schemeClr w14:val="tx1"/>
            </w14:solidFill>
          </w14:textFill>
        </w:rPr>
      </w:pPr>
    </w:p>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投标人名称（公章）：</w:t>
      </w:r>
    </w:p>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地址：</w:t>
      </w:r>
    </w:p>
    <w:p>
      <w:pPr>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签发日期：    年    月    日</w:t>
      </w:r>
    </w:p>
    <w:p>
      <w:pPr>
        <w:pStyle w:val="2"/>
        <w:keepNext w:val="0"/>
        <w:jc w:val="both"/>
        <w:rPr>
          <w:rFonts w:hint="eastAsia" w:ascii="楷体" w:hAnsi="楷体" w:eastAsia="楷体" w:cs="楷体"/>
          <w:color w:val="000000" w:themeColor="text1"/>
          <w:sz w:val="21"/>
          <w:szCs w:val="21"/>
          <w14:textFill>
            <w14:solidFill>
              <w14:schemeClr w14:val="tx1"/>
            </w14:solidFill>
          </w14:textFill>
        </w:rPr>
      </w:pPr>
    </w:p>
    <w:p>
      <w:pPr>
        <w:pStyle w:val="2"/>
        <w:keepNext w:val="0"/>
        <w:jc w:val="both"/>
        <w:rPr>
          <w:rFonts w:hint="eastAsia" w:ascii="楷体" w:hAnsi="楷体" w:eastAsia="楷体" w:cs="楷体"/>
          <w:color w:val="000000" w:themeColor="text1"/>
          <w:sz w:val="21"/>
          <w:szCs w:val="21"/>
          <w14:textFill>
            <w14:solidFill>
              <w14:schemeClr w14:val="tx1"/>
            </w14:solidFill>
          </w14:textFill>
        </w:rPr>
      </w:pPr>
    </w:p>
    <w:p>
      <w:pPr>
        <w:pStyle w:val="31"/>
        <w:spacing w:line="336" w:lineRule="auto"/>
        <w:ind w:right="84" w:rightChars="40"/>
        <w:jc w:val="left"/>
        <w:rPr>
          <w:rFonts w:hint="eastAsia" w:ascii="楷体" w:hAnsi="楷体" w:eastAsia="楷体" w:cs="楷体"/>
          <w:sz w:val="24"/>
          <w:szCs w:val="24"/>
        </w:rPr>
      </w:pPr>
      <w:r>
        <w:rPr>
          <w:rFonts w:hint="eastAsia" w:ascii="楷体" w:hAnsi="楷体" w:eastAsia="楷体" w:cs="楷体"/>
          <w:sz w:val="24"/>
          <w:szCs w:val="24"/>
        </w:rPr>
        <w:t>说明：本格式文件内容不得擅自删改。</w:t>
      </w:r>
    </w:p>
    <w:p>
      <w:pPr>
        <w:pStyle w:val="2"/>
        <w:keepNext w:val="0"/>
        <w:jc w:val="both"/>
        <w:rPr>
          <w:rFonts w:hint="eastAsia" w:ascii="楷体" w:hAnsi="楷体" w:eastAsia="楷体" w:cs="楷体"/>
          <w:snapToGrid w:val="0"/>
          <w:color w:val="000000" w:themeColor="text1"/>
          <w:kern w:val="0"/>
          <w:szCs w:val="24"/>
          <w14:textFill>
            <w14:solidFill>
              <w14:schemeClr w14:val="tx1"/>
            </w14:solidFill>
          </w14:textFill>
        </w:rPr>
      </w:pPr>
      <w:r>
        <w:rPr>
          <w:rFonts w:hint="eastAsia" w:ascii="楷体" w:hAnsi="楷体" w:eastAsia="楷体" w:cs="楷体"/>
          <w:color w:val="000000" w:themeColor="text1"/>
          <w:sz w:val="21"/>
          <w:szCs w:val="21"/>
          <w14:textFill>
            <w14:solidFill>
              <w14:schemeClr w14:val="tx1"/>
            </w14:solidFill>
          </w14:textFill>
        </w:rPr>
        <w:br w:type="page"/>
      </w:r>
      <w:bookmarkStart w:id="265" w:name="_Toc445120970"/>
      <w:bookmarkStart w:id="266" w:name="_Toc31939"/>
      <w:bookmarkStart w:id="267" w:name="_Toc400960192"/>
      <w:bookmarkStart w:id="268" w:name="_Toc521081302"/>
      <w:bookmarkStart w:id="269" w:name="_Toc322033408"/>
      <w:bookmarkStart w:id="270" w:name="_Toc397676798"/>
      <w:r>
        <w:rPr>
          <w:rFonts w:hint="eastAsia" w:ascii="楷体" w:hAnsi="楷体" w:eastAsia="楷体" w:cs="楷体"/>
          <w:b w:val="0"/>
          <w:color w:val="000000" w:themeColor="text1"/>
          <w:sz w:val="30"/>
          <w:szCs w:val="30"/>
          <w14:textFill>
            <w14:solidFill>
              <w14:schemeClr w14:val="tx1"/>
            </w14:solidFill>
          </w14:textFill>
        </w:rPr>
        <w:t>附件5 法定代表人</w:t>
      </w:r>
      <w:bookmarkEnd w:id="265"/>
      <w:bookmarkEnd w:id="266"/>
      <w:bookmarkEnd w:id="267"/>
      <w:bookmarkEnd w:id="268"/>
      <w:bookmarkEnd w:id="269"/>
      <w:bookmarkEnd w:id="270"/>
      <w:r>
        <w:rPr>
          <w:rFonts w:hint="eastAsia" w:ascii="楷体" w:hAnsi="楷体" w:eastAsia="楷体" w:cs="楷体"/>
          <w:b w:val="0"/>
          <w:color w:val="000000" w:themeColor="text1"/>
          <w:sz w:val="30"/>
          <w:szCs w:val="30"/>
          <w14:textFill>
            <w14:solidFill>
              <w14:schemeClr w14:val="tx1"/>
            </w14:solidFill>
          </w14:textFill>
        </w:rPr>
        <w:t>授权委托书</w:t>
      </w:r>
    </w:p>
    <w:p>
      <w:pPr>
        <w:spacing w:line="360" w:lineRule="auto"/>
        <w:jc w:val="center"/>
        <w:rPr>
          <w:rFonts w:hint="eastAsia" w:ascii="楷体" w:hAnsi="楷体" w:eastAsia="楷体" w:cs="楷体"/>
          <w:b/>
          <w:bCs/>
          <w:color w:val="000000" w:themeColor="text1"/>
          <w:sz w:val="24"/>
          <w14:textFill>
            <w14:solidFill>
              <w14:schemeClr w14:val="tx1"/>
            </w14:solidFill>
          </w14:textFill>
        </w:rPr>
      </w:pPr>
    </w:p>
    <w:p>
      <w:pPr>
        <w:spacing w:line="360" w:lineRule="auto"/>
        <w:jc w:val="center"/>
        <w:rPr>
          <w:rFonts w:hint="eastAsia" w:ascii="楷体" w:hAnsi="楷体" w:eastAsia="楷体" w:cs="楷体"/>
          <w:b/>
          <w:color w:val="000000" w:themeColor="text1"/>
          <w:sz w:val="24"/>
          <w14:textFill>
            <w14:solidFill>
              <w14:schemeClr w14:val="tx1"/>
            </w14:solidFill>
          </w14:textFill>
        </w:rPr>
      </w:pPr>
      <w:r>
        <w:rPr>
          <w:rFonts w:hint="eastAsia" w:ascii="楷体" w:hAnsi="楷体" w:eastAsia="楷体" w:cs="楷体"/>
          <w:b/>
          <w:color w:val="000000" w:themeColor="text1"/>
          <w:sz w:val="24"/>
          <w14:textFill>
            <w14:solidFill>
              <w14:schemeClr w14:val="tx1"/>
            </w14:solidFill>
          </w14:textFill>
        </w:rPr>
        <w:t>法定代表人授权委托书</w:t>
      </w:r>
    </w:p>
    <w:p>
      <w:pPr>
        <w:tabs>
          <w:tab w:val="left" w:pos="900"/>
        </w:tabs>
        <w:spacing w:line="360" w:lineRule="auto"/>
        <w:ind w:firstLine="480" w:firstLineChars="200"/>
        <w:jc w:val="left"/>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兹授权</w:t>
      </w:r>
      <w:r>
        <w:rPr>
          <w:rFonts w:hint="eastAsia" w:ascii="楷体" w:hAnsi="楷体" w:eastAsia="楷体" w:cs="楷体"/>
          <w:color w:val="000000" w:themeColor="text1"/>
          <w:sz w:val="24"/>
          <w:u w:val="single"/>
          <w14:textFill>
            <w14:solidFill>
              <w14:schemeClr w14:val="tx1"/>
            </w14:solidFill>
          </w14:textFill>
        </w:rPr>
        <w:t xml:space="preserve">                  </w:t>
      </w:r>
      <w:r>
        <w:rPr>
          <w:rFonts w:hint="eastAsia" w:ascii="楷体" w:hAnsi="楷体" w:eastAsia="楷体" w:cs="楷体"/>
          <w:color w:val="000000" w:themeColor="text1"/>
          <w:sz w:val="24"/>
          <w14:textFill>
            <w14:solidFill>
              <w14:schemeClr w14:val="tx1"/>
            </w14:solidFill>
          </w14:textFill>
        </w:rPr>
        <w:t xml:space="preserve">（委托代理人姓名）为我方委托代理人，其权限是：办理“联邦工业城 A8 幢厂房更换电梯项目”         </w:t>
      </w:r>
    </w:p>
    <w:p>
      <w:pPr>
        <w:tabs>
          <w:tab w:val="left" w:pos="900"/>
        </w:tabs>
        <w:spacing w:line="360" w:lineRule="auto"/>
        <w:jc w:val="left"/>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（项目编号:HJX20230325-01）的投标事宜。</w:t>
      </w:r>
      <w:r>
        <w:rPr>
          <w:rFonts w:hint="eastAsia" w:ascii="楷体" w:hAnsi="楷体" w:eastAsia="楷体" w:cs="楷体"/>
          <w:color w:val="000000" w:themeColor="text1"/>
          <w:sz w:val="24"/>
          <w:lang w:val="en-GB"/>
          <w14:textFill>
            <w14:solidFill>
              <w14:schemeClr w14:val="tx1"/>
            </w14:solidFill>
          </w14:textFill>
        </w:rPr>
        <w:t>本</w:t>
      </w:r>
      <w:r>
        <w:rPr>
          <w:rFonts w:hint="eastAsia" w:ascii="楷体" w:hAnsi="楷体" w:eastAsia="楷体" w:cs="楷体"/>
          <w:color w:val="000000" w:themeColor="text1"/>
          <w:sz w:val="24"/>
          <w14:textFill>
            <w14:solidFill>
              <w14:schemeClr w14:val="tx1"/>
            </w14:solidFill>
          </w14:textFill>
        </w:rPr>
        <w:t>授权书</w:t>
      </w:r>
      <w:r>
        <w:rPr>
          <w:rFonts w:hint="eastAsia" w:ascii="楷体" w:hAnsi="楷体" w:eastAsia="楷体" w:cs="楷体"/>
          <w:color w:val="000000" w:themeColor="text1"/>
          <w:sz w:val="24"/>
          <w:lang w:val="en-GB"/>
          <w14:textFill>
            <w14:solidFill>
              <w14:schemeClr w14:val="tx1"/>
            </w14:solidFill>
          </w14:textFill>
        </w:rPr>
        <w:t>有效期与我方投标文件中标注的投标有效期相同，自签章之日起生效。</w:t>
      </w:r>
    </w:p>
    <w:p>
      <w:pPr>
        <w:tabs>
          <w:tab w:val="left" w:pos="900"/>
        </w:tabs>
        <w:spacing w:line="360" w:lineRule="auto"/>
        <w:ind w:firstLine="480" w:firstLineChars="200"/>
        <w:jc w:val="left"/>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附：代理人身份证复印件</w:t>
      </w:r>
    </w:p>
    <w:p>
      <w:pPr>
        <w:pStyle w:val="35"/>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　</w:t>
      </w: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37"/>
        <w:rPr>
          <w:rFonts w:hint="eastAsia" w:ascii="楷体" w:hAnsi="楷体" w:eastAsia="楷体" w:cs="楷体"/>
          <w:sz w:val="24"/>
          <w:szCs w:val="24"/>
        </w:rPr>
      </w:pPr>
    </w:p>
    <w:p>
      <w:pPr>
        <w:pStyle w:val="11"/>
        <w:spacing w:line="360" w:lineRule="auto"/>
        <w:rPr>
          <w:rFonts w:hint="eastAsia" w:ascii="楷体" w:hAnsi="楷体" w:eastAsia="楷体" w:cs="楷体"/>
          <w:color w:val="000000" w:themeColor="text1"/>
          <w:szCs w:val="21"/>
          <w14:textFill>
            <w14:solidFill>
              <w14:schemeClr w14:val="tx1"/>
            </w14:solidFill>
          </w14:textFill>
        </w:rPr>
      </w:pPr>
    </w:p>
    <w:p>
      <w:pPr>
        <w:adjustRightInd w:val="0"/>
        <w:spacing w:line="360" w:lineRule="auto"/>
        <w:ind w:left="4112" w:hanging="4111" w:hangingChars="1958"/>
        <w:rPr>
          <w:rFonts w:hint="eastAsia" w:ascii="楷体" w:hAnsi="楷体" w:eastAsia="楷体" w:cs="楷体"/>
          <w:color w:val="000000" w:themeColor="text1"/>
          <w:szCs w:val="21"/>
          <w14:textFill>
            <w14:solidFill>
              <w14:schemeClr w14:val="tx1"/>
            </w14:solidFill>
          </w14:textFill>
        </w:rPr>
      </w:pPr>
    </w:p>
    <w:p>
      <w:pPr>
        <w:adjustRightInd w:val="0"/>
        <w:spacing w:line="360" w:lineRule="auto"/>
        <w:ind w:left="4112" w:hanging="4111" w:hangingChars="1958"/>
        <w:rPr>
          <w:rFonts w:hint="eastAsia" w:ascii="楷体" w:hAnsi="楷体" w:eastAsia="楷体" w:cs="楷体"/>
          <w:color w:val="000000" w:themeColor="text1"/>
          <w:szCs w:val="21"/>
          <w14:textFill>
            <w14:solidFill>
              <w14:schemeClr w14:val="tx1"/>
            </w14:solidFill>
          </w14:textFill>
        </w:rPr>
      </w:pPr>
    </w:p>
    <w:p>
      <w:pPr>
        <w:adjustRightInd w:val="0"/>
        <w:spacing w:line="360" w:lineRule="auto"/>
        <w:ind w:left="4699" w:hanging="4699" w:hangingChars="1958"/>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column">
                  <wp:posOffset>227330</wp:posOffset>
                </wp:positionH>
                <wp:positionV relativeFrom="paragraph">
                  <wp:posOffset>-3029585</wp:posOffset>
                </wp:positionV>
                <wp:extent cx="3886200" cy="1987550"/>
                <wp:effectExtent l="4445" t="4445" r="8255" b="14605"/>
                <wp:wrapNone/>
                <wp:docPr id="3" name="AutoShape 6"/>
                <wp:cNvGraphicFramePr/>
                <a:graphic xmlns:a="http://schemas.openxmlformats.org/drawingml/2006/main">
                  <a:graphicData uri="http://schemas.microsoft.com/office/word/2010/wordprocessingShape">
                    <wps:wsp>
                      <wps:cNvSpPr>
                        <a:spLocks noChangeArrowheads="1"/>
                      </wps:cNvSpPr>
                      <wps:spPr bwMode="auto">
                        <a:xfrm>
                          <a:off x="0" y="0"/>
                          <a:ext cx="3886200" cy="1987550"/>
                        </a:xfrm>
                        <a:prstGeom prst="roundRect">
                          <a:avLst>
                            <a:gd name="adj" fmla="val 16667"/>
                          </a:avLst>
                        </a:prstGeom>
                        <a:solidFill>
                          <a:srgbClr val="FFFFFF"/>
                        </a:solidFill>
                        <a:ln w="9525">
                          <a:solidFill>
                            <a:srgbClr val="000000"/>
                          </a:solidFill>
                          <a:round/>
                        </a:ln>
                        <a:effectLst/>
                      </wps:spPr>
                      <wps:txbx>
                        <w:txbxContent>
                          <w:p>
                            <w:pPr>
                              <w:jc w:val="center"/>
                              <w:rPr>
                                <w:sz w:val="24"/>
                              </w:rPr>
                            </w:pPr>
                          </w:p>
                          <w:p>
                            <w:pPr>
                              <w:jc w:val="center"/>
                              <w:rPr>
                                <w:sz w:val="24"/>
                              </w:rPr>
                            </w:pPr>
                          </w:p>
                          <w:p>
                            <w:pPr>
                              <w:jc w:val="center"/>
                              <w:rPr>
                                <w:rFonts w:ascii="楷体" w:hAnsi="楷体" w:eastAsia="楷体" w:cs="楷体"/>
                                <w:sz w:val="24"/>
                              </w:rPr>
                            </w:pPr>
                            <w:r>
                              <w:rPr>
                                <w:rFonts w:hint="eastAsia" w:ascii="楷体" w:hAnsi="楷体" w:eastAsia="楷体" w:cs="楷体"/>
                                <w:sz w:val="24"/>
                              </w:rPr>
                              <w:t>代理人身份证复印件贴于此处</w:t>
                            </w:r>
                          </w:p>
                          <w:p>
                            <w:pPr>
                              <w:jc w:val="center"/>
                              <w:rPr>
                                <w:rFonts w:ascii="楷体" w:hAnsi="楷体" w:eastAsia="楷体" w:cs="楷体"/>
                                <w:b/>
                                <w:sz w:val="24"/>
                              </w:rPr>
                            </w:pPr>
                          </w:p>
                          <w:p>
                            <w:pPr>
                              <w:jc w:val="center"/>
                              <w:rPr>
                                <w:rFonts w:ascii="宋体" w:hAnsi="宋体"/>
                                <w:b/>
                                <w:sz w:val="24"/>
                              </w:rPr>
                            </w:pPr>
                            <w:r>
                              <w:rPr>
                                <w:rFonts w:hint="eastAsia" w:ascii="楷体" w:hAnsi="楷体" w:eastAsia="楷体" w:cs="楷体"/>
                                <w:b/>
                                <w:sz w:val="24"/>
                              </w:rPr>
                              <w:t>(为避免废标，请投标人务必提供身份证复印件)</w:t>
                            </w:r>
                          </w:p>
                          <w:p/>
                        </w:txbxContent>
                      </wps:txbx>
                      <wps:bodyPr rot="0" vert="horz" wrap="square" lIns="91440" tIns="45720" rIns="91440" bIns="45720" anchor="t" anchorCtr="0" upright="1">
                        <a:noAutofit/>
                      </wps:bodyPr>
                    </wps:wsp>
                  </a:graphicData>
                </a:graphic>
              </wp:anchor>
            </w:drawing>
          </mc:Choice>
          <mc:Fallback>
            <w:pict>
              <v:roundrect id="AutoShape 6" o:spid="_x0000_s1026" o:spt="2" style="position:absolute;left:0pt;margin-left:17.9pt;margin-top:-238.55pt;height:156.5pt;width:306pt;z-index:251660288;mso-width-relative:page;mso-height-relative:page;" fillcolor="#FFFFFF" filled="t" stroked="t" coordsize="21600,21600" arcsize="0.166666666666667" o:gfxdata="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E/n1jXAAAADAEAAA8AAAAAAAAAAQAg&#10;AAAAIgAAAGRycy9kb3ducmV2LnhtbFBLAQIUABQAAAAIAIdO4kBJH1jTSAIAALAEAAAOAAAAAAAA&#10;AAEAIAAAACYBAABkcnMvZTJvRG9jLnhtbFBLBQYAAAAABgAGAFkBAADgBQAAAAA=&#10;">
                <v:fill on="t" focussize="0,0"/>
                <v:stroke color="#000000" joinstyle="round"/>
                <v:imagedata o:title=""/>
                <o:lock v:ext="edit" aspectratio="f"/>
                <v:textbox>
                  <w:txbxContent>
                    <w:p>
                      <w:pPr>
                        <w:jc w:val="center"/>
                        <w:rPr>
                          <w:sz w:val="24"/>
                        </w:rPr>
                      </w:pPr>
                    </w:p>
                    <w:p>
                      <w:pPr>
                        <w:jc w:val="center"/>
                        <w:rPr>
                          <w:sz w:val="24"/>
                        </w:rPr>
                      </w:pPr>
                    </w:p>
                    <w:p>
                      <w:pPr>
                        <w:jc w:val="center"/>
                        <w:rPr>
                          <w:rFonts w:ascii="楷体" w:hAnsi="楷体" w:eastAsia="楷体" w:cs="楷体"/>
                          <w:sz w:val="24"/>
                        </w:rPr>
                      </w:pPr>
                      <w:r>
                        <w:rPr>
                          <w:rFonts w:hint="eastAsia" w:ascii="楷体" w:hAnsi="楷体" w:eastAsia="楷体" w:cs="楷体"/>
                          <w:sz w:val="24"/>
                        </w:rPr>
                        <w:t>代理人身份证复印件贴于此处</w:t>
                      </w:r>
                    </w:p>
                    <w:p>
                      <w:pPr>
                        <w:jc w:val="center"/>
                        <w:rPr>
                          <w:rFonts w:ascii="楷体" w:hAnsi="楷体" w:eastAsia="楷体" w:cs="楷体"/>
                          <w:b/>
                          <w:sz w:val="24"/>
                        </w:rPr>
                      </w:pPr>
                    </w:p>
                    <w:p>
                      <w:pPr>
                        <w:jc w:val="center"/>
                        <w:rPr>
                          <w:rFonts w:ascii="宋体" w:hAnsi="宋体"/>
                          <w:b/>
                          <w:sz w:val="24"/>
                        </w:rPr>
                      </w:pPr>
                      <w:r>
                        <w:rPr>
                          <w:rFonts w:hint="eastAsia" w:ascii="楷体" w:hAnsi="楷体" w:eastAsia="楷体" w:cs="楷体"/>
                          <w:b/>
                          <w:sz w:val="24"/>
                        </w:rPr>
                        <w:t>(为避免废标，请投标人务必提供身份证复印件)</w:t>
                      </w:r>
                    </w:p>
                    <w:p/>
                  </w:txbxContent>
                </v:textbox>
                <w10:anchorlock/>
              </v:roundrect>
            </w:pict>
          </mc:Fallback>
        </mc:AlternateContent>
      </w:r>
      <w:r>
        <w:rPr>
          <w:rFonts w:hint="eastAsia" w:ascii="楷体" w:hAnsi="楷体" w:eastAsia="楷体" w:cs="楷体"/>
          <w:color w:val="000000" w:themeColor="text1"/>
          <w:sz w:val="24"/>
          <w14:textFill>
            <w14:solidFill>
              <w14:schemeClr w14:val="tx1"/>
            </w14:solidFill>
          </w14:textFill>
        </w:rPr>
        <w:t>投标人名称（公章）：</w:t>
      </w:r>
    </w:p>
    <w:p>
      <w:pPr>
        <w:adjustRightInd w:val="0"/>
        <w:spacing w:line="360" w:lineRule="auto"/>
        <w:ind w:left="4699" w:hanging="4699" w:hangingChars="1958"/>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地址：</w:t>
      </w:r>
    </w:p>
    <w:p>
      <w:pPr>
        <w:adjustRightInd w:val="0"/>
        <w:spacing w:line="360" w:lineRule="auto"/>
        <w:ind w:left="4699" w:hanging="4699" w:hangingChars="1958"/>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签发日期：   年   月   日</w:t>
      </w:r>
    </w:p>
    <w:p>
      <w:pPr>
        <w:adjustRightInd w:val="0"/>
        <w:spacing w:line="360" w:lineRule="auto"/>
        <w:ind w:left="4699" w:hanging="4699" w:hangingChars="1958"/>
        <w:rPr>
          <w:rFonts w:hint="eastAsia" w:ascii="楷体" w:hAnsi="楷体" w:eastAsia="楷体" w:cs="楷体"/>
          <w:color w:val="000000" w:themeColor="text1"/>
          <w:sz w:val="24"/>
          <w14:textFill>
            <w14:solidFill>
              <w14:schemeClr w14:val="tx1"/>
            </w14:solidFill>
          </w14:textFill>
        </w:rPr>
      </w:pPr>
    </w:p>
    <w:p>
      <w:pPr>
        <w:adjustRightInd w:val="0"/>
        <w:spacing w:line="360" w:lineRule="auto"/>
        <w:ind w:left="4699" w:hanging="4699" w:hangingChars="1958"/>
        <w:rPr>
          <w:rFonts w:hint="eastAsia" w:ascii="楷体" w:hAnsi="楷体" w:eastAsia="楷体" w:cs="楷体"/>
          <w:color w:val="000000" w:themeColor="text1"/>
          <w:sz w:val="24"/>
          <w14:textFill>
            <w14:solidFill>
              <w14:schemeClr w14:val="tx1"/>
            </w14:solidFill>
          </w14:textFill>
        </w:rPr>
      </w:pPr>
    </w:p>
    <w:p>
      <w:pPr>
        <w:adjustRightInd w:val="0"/>
        <w:spacing w:line="360" w:lineRule="auto"/>
        <w:ind w:left="4699" w:hanging="4699" w:hangingChars="1958"/>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说明：</w:t>
      </w:r>
    </w:p>
    <w:p>
      <w:pPr>
        <w:adjustRightInd w:val="0"/>
        <w:spacing w:line="360" w:lineRule="auto"/>
        <w:ind w:left="4699" w:hanging="4699" w:hangingChars="1958"/>
        <w:rPr>
          <w:rFonts w:hint="eastAsia" w:ascii="楷体" w:hAnsi="楷体" w:eastAsia="楷体" w:cs="楷体"/>
          <w:sz w:val="24"/>
        </w:rPr>
      </w:pPr>
      <w:r>
        <w:rPr>
          <w:rFonts w:hint="eastAsia" w:ascii="楷体" w:hAnsi="楷体" w:eastAsia="楷体" w:cs="楷体"/>
          <w:color w:val="000000" w:themeColor="text1"/>
          <w:sz w:val="24"/>
          <w14:textFill>
            <w14:solidFill>
              <w14:schemeClr w14:val="tx1"/>
            </w14:solidFill>
          </w14:textFill>
        </w:rPr>
        <w:t>1、</w:t>
      </w:r>
      <w:r>
        <w:rPr>
          <w:rFonts w:hint="eastAsia" w:ascii="楷体" w:hAnsi="楷体" w:eastAsia="楷体" w:cs="楷体"/>
          <w:sz w:val="24"/>
        </w:rPr>
        <w:t>本格式文件内容不得擅自删改。</w:t>
      </w:r>
    </w:p>
    <w:p>
      <w:pPr>
        <w:adjustRightInd w:val="0"/>
        <w:spacing w:line="360" w:lineRule="auto"/>
        <w:ind w:left="4699" w:hanging="4699" w:hangingChars="1958"/>
        <w:rPr>
          <w:rFonts w:hint="eastAsia" w:ascii="楷体" w:hAnsi="楷体" w:eastAsia="楷体" w:cs="楷体"/>
          <w:sz w:val="24"/>
        </w:rPr>
      </w:pPr>
      <w:r>
        <w:rPr>
          <w:rFonts w:hint="eastAsia" w:ascii="楷体" w:hAnsi="楷体" w:eastAsia="楷体" w:cs="楷体"/>
          <w:sz w:val="24"/>
        </w:rPr>
        <w:t>2、</w:t>
      </w:r>
      <w:r>
        <w:rPr>
          <w:rFonts w:hint="eastAsia" w:ascii="楷体" w:hAnsi="楷体" w:eastAsia="楷体" w:cs="楷体"/>
          <w:color w:val="000000"/>
          <w:sz w:val="24"/>
          <w:lang w:val="zh-CN"/>
        </w:rPr>
        <w:t>法定代表人亲自办理投标事宜的，无需提交本授权委托书。</w:t>
      </w:r>
    </w:p>
    <w:p>
      <w:pPr>
        <w:pStyle w:val="2"/>
        <w:keepNext w:val="0"/>
        <w:spacing w:before="156" w:beforeLines="50" w:after="156" w:afterLines="50"/>
        <w:jc w:val="both"/>
        <w:rPr>
          <w:rFonts w:hint="eastAsia" w:ascii="楷体" w:hAnsi="楷体" w:eastAsia="楷体" w:cs="楷体"/>
          <w:snapToGrid w:val="0"/>
          <w:color w:val="000000" w:themeColor="text1"/>
          <w:kern w:val="0"/>
          <w:sz w:val="21"/>
          <w:szCs w:val="21"/>
          <w14:textFill>
            <w14:solidFill>
              <w14:schemeClr w14:val="tx1"/>
            </w14:solidFill>
          </w14:textFill>
        </w:rPr>
      </w:pPr>
      <w:r>
        <w:rPr>
          <w:rFonts w:hint="eastAsia" w:ascii="楷体" w:hAnsi="楷体" w:eastAsia="楷体" w:cs="楷体"/>
          <w:snapToGrid w:val="0"/>
          <w:color w:val="000000" w:themeColor="text1"/>
          <w:kern w:val="0"/>
          <w:sz w:val="21"/>
          <w:szCs w:val="21"/>
          <w14:textFill>
            <w14:solidFill>
              <w14:schemeClr w14:val="tx1"/>
            </w14:solidFill>
          </w14:textFill>
        </w:rPr>
        <w:br w:type="page"/>
      </w:r>
      <w:bookmarkStart w:id="271" w:name="_Toc1484"/>
      <w:bookmarkStart w:id="272" w:name="_Toc263336371"/>
      <w:bookmarkStart w:id="273" w:name="_Toc263670124"/>
      <w:bookmarkStart w:id="274" w:name="_Toc400960193"/>
      <w:bookmarkStart w:id="275" w:name="_Toc445120971"/>
      <w:bookmarkStart w:id="276" w:name="_Toc322033409"/>
      <w:bookmarkStart w:id="277" w:name="_Toc263437596"/>
      <w:bookmarkStart w:id="278" w:name="_Toc397676799"/>
      <w:bookmarkStart w:id="279" w:name="_Toc521081303"/>
    </w:p>
    <w:p>
      <w:pPr>
        <w:pStyle w:val="2"/>
        <w:keepNext w:val="0"/>
        <w:jc w:val="both"/>
        <w:rPr>
          <w:rFonts w:hint="eastAsia" w:ascii="楷体" w:hAnsi="楷体" w:eastAsia="楷体" w:cs="楷体"/>
          <w:b w:val="0"/>
          <w:color w:val="000000" w:themeColor="text1"/>
          <w:sz w:val="30"/>
          <w:szCs w:val="30"/>
          <w14:textFill>
            <w14:solidFill>
              <w14:schemeClr w14:val="tx1"/>
            </w14:solidFill>
          </w14:textFill>
        </w:rPr>
      </w:pPr>
      <w:r>
        <w:rPr>
          <w:rFonts w:hint="eastAsia" w:ascii="楷体" w:hAnsi="楷体" w:eastAsia="楷体" w:cs="楷体"/>
          <w:b w:val="0"/>
          <w:color w:val="000000" w:themeColor="text1"/>
          <w:sz w:val="30"/>
          <w:szCs w:val="30"/>
          <w14:textFill>
            <w14:solidFill>
              <w14:schemeClr w14:val="tx1"/>
            </w14:solidFill>
          </w14:textFill>
        </w:rPr>
        <w:t>附件6、实质性响应一览表</w:t>
      </w:r>
    </w:p>
    <w:p>
      <w:pPr>
        <w:jc w:val="center"/>
        <w:rPr>
          <w:rFonts w:hint="eastAsia" w:ascii="楷体" w:hAnsi="楷体" w:eastAsia="楷体" w:cs="楷体"/>
          <w:b/>
          <w:sz w:val="24"/>
        </w:rPr>
      </w:pPr>
    </w:p>
    <w:p>
      <w:pPr>
        <w:jc w:val="center"/>
        <w:rPr>
          <w:rFonts w:hint="eastAsia" w:ascii="楷体" w:hAnsi="楷体" w:eastAsia="楷体" w:cs="楷体"/>
          <w:sz w:val="24"/>
        </w:rPr>
      </w:pPr>
      <w:r>
        <w:rPr>
          <w:rFonts w:hint="eastAsia" w:ascii="楷体" w:hAnsi="楷体" w:eastAsia="楷体" w:cs="楷体"/>
          <w:b/>
          <w:sz w:val="24"/>
        </w:rPr>
        <w:t>实质性响应一览表</w:t>
      </w:r>
    </w:p>
    <w:tbl>
      <w:tblPr>
        <w:tblStyle w:val="14"/>
        <w:tblW w:w="0" w:type="auto"/>
        <w:tblInd w:w="123"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8"/>
        <w:gridCol w:w="4111"/>
        <w:gridCol w:w="1984"/>
        <w:gridCol w:w="135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8" w:type="dxa"/>
          </w:tcPr>
          <w:p>
            <w:pPr>
              <w:jc w:val="center"/>
              <w:rPr>
                <w:rFonts w:hint="eastAsia" w:ascii="楷体" w:hAnsi="楷体" w:eastAsia="楷体" w:cs="楷体"/>
                <w:sz w:val="24"/>
              </w:rPr>
            </w:pPr>
            <w:r>
              <w:rPr>
                <w:rFonts w:hint="eastAsia" w:ascii="楷体" w:hAnsi="楷体" w:eastAsia="楷体" w:cs="楷体"/>
                <w:sz w:val="24"/>
              </w:rPr>
              <w:t>序号</w:t>
            </w:r>
          </w:p>
        </w:tc>
        <w:tc>
          <w:tcPr>
            <w:tcW w:w="4111" w:type="dxa"/>
          </w:tcPr>
          <w:p>
            <w:pPr>
              <w:jc w:val="center"/>
              <w:rPr>
                <w:rFonts w:hint="eastAsia" w:ascii="楷体" w:hAnsi="楷体" w:eastAsia="楷体" w:cs="楷体"/>
                <w:sz w:val="24"/>
              </w:rPr>
            </w:pPr>
            <w:r>
              <w:rPr>
                <w:rFonts w:hint="eastAsia" w:ascii="楷体" w:hAnsi="楷体" w:eastAsia="楷体" w:cs="楷体"/>
                <w:sz w:val="24"/>
              </w:rPr>
              <w:t>实质性响应条款</w:t>
            </w:r>
          </w:p>
        </w:tc>
        <w:tc>
          <w:tcPr>
            <w:tcW w:w="1984" w:type="dxa"/>
          </w:tcPr>
          <w:p>
            <w:pPr>
              <w:jc w:val="center"/>
              <w:rPr>
                <w:rFonts w:hint="eastAsia" w:ascii="楷体" w:hAnsi="楷体" w:eastAsia="楷体" w:cs="楷体"/>
                <w:sz w:val="24"/>
              </w:rPr>
            </w:pPr>
            <w:r>
              <w:rPr>
                <w:rFonts w:hint="eastAsia" w:ascii="楷体" w:hAnsi="楷体" w:eastAsia="楷体" w:cs="楷体"/>
                <w:sz w:val="24"/>
              </w:rPr>
              <w:t>投标人响应情况</w:t>
            </w:r>
          </w:p>
        </w:tc>
        <w:tc>
          <w:tcPr>
            <w:tcW w:w="1358" w:type="dxa"/>
          </w:tcPr>
          <w:p>
            <w:pPr>
              <w:jc w:val="center"/>
              <w:rPr>
                <w:rFonts w:hint="eastAsia" w:ascii="楷体" w:hAnsi="楷体" w:eastAsia="楷体" w:cs="楷体"/>
                <w:sz w:val="24"/>
              </w:rPr>
            </w:pPr>
            <w:r>
              <w:rPr>
                <w:rFonts w:hint="eastAsia" w:ascii="楷体" w:hAnsi="楷体" w:eastAsia="楷体" w:cs="楷体"/>
                <w:sz w:val="24"/>
              </w:rPr>
              <w:t>差异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8" w:type="dxa"/>
            <w:vAlign w:val="center"/>
          </w:tcPr>
          <w:p>
            <w:pPr>
              <w:jc w:val="center"/>
              <w:rPr>
                <w:rFonts w:hint="eastAsia" w:ascii="楷体" w:hAnsi="楷体" w:eastAsia="楷体" w:cs="楷体"/>
                <w:sz w:val="24"/>
              </w:rPr>
            </w:pPr>
            <w:r>
              <w:rPr>
                <w:rFonts w:hint="eastAsia" w:ascii="楷体" w:hAnsi="楷体" w:eastAsia="楷体" w:cs="楷体"/>
                <w:sz w:val="24"/>
              </w:rPr>
              <w:t>1</w:t>
            </w:r>
          </w:p>
        </w:tc>
        <w:tc>
          <w:tcPr>
            <w:tcW w:w="4111" w:type="dxa"/>
          </w:tcPr>
          <w:p>
            <w:pPr>
              <w:rPr>
                <w:rFonts w:hint="eastAsia" w:ascii="楷体" w:hAnsi="楷体" w:eastAsia="楷体" w:cs="楷体"/>
                <w:sz w:val="24"/>
              </w:rPr>
            </w:pPr>
          </w:p>
        </w:tc>
        <w:tc>
          <w:tcPr>
            <w:tcW w:w="1984" w:type="dxa"/>
          </w:tcPr>
          <w:p>
            <w:pPr>
              <w:rPr>
                <w:rFonts w:hint="eastAsia" w:ascii="楷体" w:hAnsi="楷体" w:eastAsia="楷体" w:cs="楷体"/>
                <w:sz w:val="24"/>
              </w:rPr>
            </w:pPr>
          </w:p>
        </w:tc>
        <w:tc>
          <w:tcPr>
            <w:tcW w:w="1358" w:type="dxa"/>
          </w:tcPr>
          <w:p>
            <w:pPr>
              <w:rPr>
                <w:rFonts w:hint="eastAsia" w:ascii="楷体" w:hAnsi="楷体" w:eastAsia="楷体" w:cs="楷体"/>
                <w:sz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8" w:type="dxa"/>
            <w:vAlign w:val="center"/>
          </w:tcPr>
          <w:p>
            <w:pPr>
              <w:jc w:val="center"/>
              <w:rPr>
                <w:rFonts w:hint="eastAsia" w:ascii="楷体" w:hAnsi="楷体" w:eastAsia="楷体" w:cs="楷体"/>
                <w:sz w:val="24"/>
              </w:rPr>
            </w:pPr>
            <w:r>
              <w:rPr>
                <w:rFonts w:hint="eastAsia" w:ascii="楷体" w:hAnsi="楷体" w:eastAsia="楷体" w:cs="楷体"/>
                <w:sz w:val="24"/>
              </w:rPr>
              <w:t>2</w:t>
            </w:r>
          </w:p>
        </w:tc>
        <w:tc>
          <w:tcPr>
            <w:tcW w:w="4111" w:type="dxa"/>
          </w:tcPr>
          <w:p>
            <w:pPr>
              <w:tabs>
                <w:tab w:val="left" w:pos="660"/>
              </w:tabs>
              <w:rPr>
                <w:rFonts w:hint="eastAsia" w:ascii="楷体" w:hAnsi="楷体" w:eastAsia="楷体" w:cs="楷体"/>
                <w:sz w:val="24"/>
              </w:rPr>
            </w:pPr>
          </w:p>
        </w:tc>
        <w:tc>
          <w:tcPr>
            <w:tcW w:w="1984" w:type="dxa"/>
          </w:tcPr>
          <w:p>
            <w:pPr>
              <w:rPr>
                <w:rFonts w:hint="eastAsia" w:ascii="楷体" w:hAnsi="楷体" w:eastAsia="楷体" w:cs="楷体"/>
                <w:sz w:val="24"/>
              </w:rPr>
            </w:pPr>
          </w:p>
        </w:tc>
        <w:tc>
          <w:tcPr>
            <w:tcW w:w="1358" w:type="dxa"/>
          </w:tcPr>
          <w:p>
            <w:pPr>
              <w:rPr>
                <w:rFonts w:hint="eastAsia" w:ascii="楷体" w:hAnsi="楷体" w:eastAsia="楷体" w:cs="楷体"/>
                <w:sz w:val="24"/>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8" w:type="dxa"/>
            <w:vAlign w:val="center"/>
          </w:tcPr>
          <w:p>
            <w:pPr>
              <w:jc w:val="center"/>
              <w:rPr>
                <w:rFonts w:hint="eastAsia" w:ascii="楷体" w:hAnsi="楷体" w:eastAsia="楷体" w:cs="楷体"/>
                <w:sz w:val="24"/>
              </w:rPr>
            </w:pPr>
            <w:r>
              <w:rPr>
                <w:rFonts w:hint="eastAsia" w:ascii="楷体" w:hAnsi="楷体" w:eastAsia="楷体" w:cs="楷体"/>
                <w:sz w:val="24"/>
              </w:rPr>
              <w:t>…</w:t>
            </w:r>
          </w:p>
        </w:tc>
        <w:tc>
          <w:tcPr>
            <w:tcW w:w="4111" w:type="dxa"/>
          </w:tcPr>
          <w:p>
            <w:pPr>
              <w:tabs>
                <w:tab w:val="left" w:pos="660"/>
              </w:tabs>
              <w:rPr>
                <w:rFonts w:hint="eastAsia" w:ascii="楷体" w:hAnsi="楷体" w:eastAsia="楷体" w:cs="楷体"/>
                <w:sz w:val="24"/>
              </w:rPr>
            </w:pPr>
          </w:p>
        </w:tc>
        <w:tc>
          <w:tcPr>
            <w:tcW w:w="1984" w:type="dxa"/>
          </w:tcPr>
          <w:p>
            <w:pPr>
              <w:rPr>
                <w:rFonts w:hint="eastAsia" w:ascii="楷体" w:hAnsi="楷体" w:eastAsia="楷体" w:cs="楷体"/>
                <w:sz w:val="24"/>
              </w:rPr>
            </w:pPr>
          </w:p>
        </w:tc>
        <w:tc>
          <w:tcPr>
            <w:tcW w:w="1358" w:type="dxa"/>
          </w:tcPr>
          <w:p>
            <w:pPr>
              <w:rPr>
                <w:rFonts w:hint="eastAsia" w:ascii="楷体" w:hAnsi="楷体" w:eastAsia="楷体" w:cs="楷体"/>
                <w:sz w:val="24"/>
              </w:rPr>
            </w:pPr>
          </w:p>
        </w:tc>
      </w:tr>
    </w:tbl>
    <w:p>
      <w:pPr>
        <w:ind w:firstLine="482"/>
        <w:rPr>
          <w:rFonts w:hint="eastAsia" w:ascii="楷体" w:hAnsi="楷体" w:eastAsia="楷体" w:cs="楷体"/>
          <w:sz w:val="24"/>
        </w:rPr>
      </w:pPr>
      <w:r>
        <w:rPr>
          <w:rFonts w:hint="eastAsia" w:ascii="楷体" w:hAnsi="楷体" w:eastAsia="楷体" w:cs="楷体"/>
          <w:sz w:val="24"/>
        </w:rPr>
        <w:t>说明：</w:t>
      </w:r>
    </w:p>
    <w:p>
      <w:pPr>
        <w:ind w:firstLine="482"/>
        <w:rPr>
          <w:rFonts w:hint="eastAsia" w:ascii="楷体" w:hAnsi="楷体" w:eastAsia="楷体" w:cs="楷体"/>
          <w:sz w:val="24"/>
        </w:rPr>
      </w:pPr>
      <w:r>
        <w:rPr>
          <w:rFonts w:hint="eastAsia" w:ascii="楷体" w:hAnsi="楷体" w:eastAsia="楷体" w:cs="楷体"/>
          <w:sz w:val="24"/>
        </w:rPr>
        <w:t>1.本表所列条款必须一一予以响应，“投标人响应情况”一栏应填写具体的响应内容，有差异的要具体说明。</w:t>
      </w:r>
    </w:p>
    <w:p>
      <w:pPr>
        <w:ind w:firstLine="482"/>
        <w:rPr>
          <w:rFonts w:hint="eastAsia" w:ascii="楷体" w:hAnsi="楷体" w:eastAsia="楷体" w:cs="楷体"/>
        </w:rPr>
      </w:pPr>
      <w:r>
        <w:rPr>
          <w:rFonts w:hint="eastAsia" w:ascii="楷体" w:hAnsi="楷体" w:eastAsia="楷体" w:cs="楷体"/>
          <w:sz w:val="24"/>
        </w:rPr>
        <w:t>2.请投标人认真填写本表内容，如填写错误将可能导致投标无效。</w:t>
      </w:r>
    </w:p>
    <w:p>
      <w:pPr>
        <w:pStyle w:val="2"/>
        <w:keepNext w:val="0"/>
        <w:spacing w:before="156" w:beforeLines="50" w:after="156" w:afterLines="50"/>
        <w:jc w:val="both"/>
        <w:rPr>
          <w:rFonts w:hint="eastAsia" w:ascii="楷体" w:hAnsi="楷体" w:eastAsia="楷体" w:cs="楷体"/>
          <w:snapToGrid w:val="0"/>
          <w:color w:val="000000" w:themeColor="text1"/>
          <w:kern w:val="0"/>
          <w:sz w:val="21"/>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p>
      <w:pPr>
        <w:rPr>
          <w:rFonts w:hint="eastAsia" w:ascii="楷体" w:hAnsi="楷体" w:eastAsia="楷体" w:cs="楷体"/>
          <w:snapToGrid w:val="0"/>
          <w:color w:val="000000" w:themeColor="text1"/>
          <w:kern w:val="0"/>
          <w:szCs w:val="21"/>
          <w14:textFill>
            <w14:solidFill>
              <w14:schemeClr w14:val="tx1"/>
            </w14:solidFill>
          </w14:textFill>
        </w:rPr>
      </w:pPr>
    </w:p>
    <w:bookmarkEnd w:id="271"/>
    <w:bookmarkEnd w:id="272"/>
    <w:bookmarkEnd w:id="273"/>
    <w:bookmarkEnd w:id="274"/>
    <w:bookmarkEnd w:id="275"/>
    <w:bookmarkEnd w:id="276"/>
    <w:bookmarkEnd w:id="277"/>
    <w:bookmarkEnd w:id="278"/>
    <w:bookmarkEnd w:id="279"/>
    <w:p>
      <w:pPr>
        <w:spacing w:line="360" w:lineRule="auto"/>
        <w:rPr>
          <w:rFonts w:hint="eastAsia" w:ascii="楷体" w:hAnsi="楷体" w:eastAsia="楷体" w:cs="楷体"/>
          <w:bCs/>
          <w:color w:val="000000" w:themeColor="text1"/>
          <w:sz w:val="30"/>
          <w:szCs w:val="30"/>
          <w14:textFill>
            <w14:solidFill>
              <w14:schemeClr w14:val="tx1"/>
            </w14:solidFill>
          </w14:textFill>
        </w:rPr>
      </w:pPr>
      <w:bookmarkStart w:id="280" w:name="_Toc110315009"/>
      <w:bookmarkStart w:id="281" w:name="_Toc445120974"/>
      <w:bookmarkStart w:id="282" w:name="_Toc11938"/>
      <w:bookmarkStart w:id="283" w:name="_Toc110315386"/>
      <w:bookmarkStart w:id="284" w:name="_Toc400960196"/>
      <w:bookmarkStart w:id="285" w:name="_Toc397676801"/>
      <w:bookmarkStart w:id="286" w:name="_Toc322033411"/>
      <w:bookmarkStart w:id="287" w:name="_Toc110315381"/>
      <w:bookmarkStart w:id="288" w:name="_Toc110315004"/>
      <w:r>
        <w:rPr>
          <w:rFonts w:hint="eastAsia" w:ascii="楷体" w:hAnsi="楷体" w:eastAsia="楷体" w:cs="楷体"/>
          <w:bCs/>
          <w:color w:val="000000" w:themeColor="text1"/>
          <w:sz w:val="30"/>
          <w:szCs w:val="30"/>
          <w14:textFill>
            <w14:solidFill>
              <w14:schemeClr w14:val="tx1"/>
            </w14:solidFill>
          </w14:textFill>
        </w:rPr>
        <w:t>附件7、采购需求一般性条款响应差异表</w:t>
      </w:r>
    </w:p>
    <w:p>
      <w:pPr>
        <w:pStyle w:val="38"/>
        <w:spacing w:line="360" w:lineRule="auto"/>
        <w:jc w:val="center"/>
        <w:rPr>
          <w:rFonts w:hint="eastAsia" w:ascii="楷体" w:hAnsi="楷体" w:eastAsia="楷体" w:cs="楷体"/>
          <w:b/>
          <w:sz w:val="24"/>
          <w:szCs w:val="24"/>
        </w:rPr>
      </w:pPr>
    </w:p>
    <w:p>
      <w:pPr>
        <w:pStyle w:val="38"/>
        <w:spacing w:line="360" w:lineRule="auto"/>
        <w:jc w:val="center"/>
        <w:rPr>
          <w:rFonts w:hint="eastAsia" w:ascii="楷体" w:hAnsi="楷体" w:eastAsia="楷体" w:cs="楷体"/>
          <w:b/>
          <w:sz w:val="24"/>
          <w:szCs w:val="24"/>
        </w:rPr>
      </w:pPr>
      <w:r>
        <w:rPr>
          <w:rFonts w:hint="eastAsia" w:ascii="楷体" w:hAnsi="楷体" w:eastAsia="楷体" w:cs="楷体"/>
          <w:b/>
          <w:sz w:val="24"/>
          <w:szCs w:val="24"/>
        </w:rPr>
        <w:t>采购需求一般性条款响应差异表</w:t>
      </w:r>
    </w:p>
    <w:tbl>
      <w:tblPr>
        <w:tblStyle w:val="14"/>
        <w:tblW w:w="8345" w:type="dxa"/>
        <w:tblInd w:w="0" w:type="dxa"/>
        <w:tblLayout w:type="fixed"/>
        <w:tblCellMar>
          <w:top w:w="0" w:type="dxa"/>
          <w:left w:w="30" w:type="dxa"/>
          <w:bottom w:w="0" w:type="dxa"/>
          <w:right w:w="30" w:type="dxa"/>
        </w:tblCellMar>
      </w:tblPr>
      <w:tblGrid>
        <w:gridCol w:w="707"/>
        <w:gridCol w:w="3101"/>
        <w:gridCol w:w="2268"/>
        <w:gridCol w:w="2269"/>
      </w:tblGrid>
      <w:tr>
        <w:tblPrEx>
          <w:tblCellMar>
            <w:top w:w="0" w:type="dxa"/>
            <w:left w:w="30" w:type="dxa"/>
            <w:bottom w:w="0" w:type="dxa"/>
            <w:right w:w="30" w:type="dxa"/>
          </w:tblCellMar>
        </w:tblPrEx>
        <w:trPr>
          <w:trHeight w:val="437" w:hRule="exact"/>
        </w:trPr>
        <w:tc>
          <w:tcPr>
            <w:tcW w:w="3808" w:type="dxa"/>
            <w:gridSpan w:val="2"/>
            <w:tcBorders>
              <w:top w:val="single" w:color="auto" w:sz="4" w:space="0"/>
              <w:left w:val="single" w:color="auto" w:sz="4" w:space="0"/>
              <w:right w:val="single" w:color="000000" w:sz="2"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采购需求</w:t>
            </w:r>
          </w:p>
        </w:tc>
        <w:tc>
          <w:tcPr>
            <w:tcW w:w="4537" w:type="dxa"/>
            <w:gridSpan w:val="2"/>
            <w:tcBorders>
              <w:top w:val="single" w:color="auto" w:sz="4" w:space="0"/>
              <w:left w:val="single" w:color="auto" w:sz="6"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投标人响应</w:t>
            </w: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序号</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项目内容</w:t>
            </w: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承诺</w:t>
            </w: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差异</w:t>
            </w: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1</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rPr>
                <w:rFonts w:hint="eastAsia" w:ascii="楷体" w:hAnsi="楷体" w:eastAsia="楷体" w:cs="楷体"/>
                <w:sz w:val="24"/>
                <w:szCs w:val="24"/>
              </w:rPr>
            </w:pP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2</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rPr>
                <w:rFonts w:hint="eastAsia" w:ascii="楷体" w:hAnsi="楷体" w:eastAsia="楷体" w:cs="楷体"/>
                <w:sz w:val="24"/>
                <w:szCs w:val="24"/>
              </w:rPr>
            </w:pP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3</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rPr>
                <w:rFonts w:hint="eastAsia" w:ascii="楷体" w:hAnsi="楷体" w:eastAsia="楷体" w:cs="楷体"/>
                <w:sz w:val="24"/>
                <w:szCs w:val="24"/>
              </w:rPr>
            </w:pP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4</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rPr>
                <w:rFonts w:hint="eastAsia" w:ascii="楷体" w:hAnsi="楷体" w:eastAsia="楷体" w:cs="楷体"/>
                <w:sz w:val="24"/>
                <w:szCs w:val="24"/>
              </w:rPr>
            </w:pP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5</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rPr>
                <w:rFonts w:hint="eastAsia" w:ascii="楷体" w:hAnsi="楷体" w:eastAsia="楷体" w:cs="楷体"/>
                <w:sz w:val="24"/>
                <w:szCs w:val="24"/>
              </w:rPr>
            </w:pP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6</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rPr>
                <w:rFonts w:hint="eastAsia" w:ascii="楷体" w:hAnsi="楷体" w:eastAsia="楷体" w:cs="楷体"/>
                <w:sz w:val="24"/>
                <w:szCs w:val="24"/>
              </w:rPr>
            </w:pP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r>
      <w:tr>
        <w:tblPrEx>
          <w:tblCellMar>
            <w:top w:w="0" w:type="dxa"/>
            <w:left w:w="30" w:type="dxa"/>
            <w:bottom w:w="0" w:type="dxa"/>
            <w:right w:w="30" w:type="dxa"/>
          </w:tblCellMar>
        </w:tblPrEx>
        <w:trPr>
          <w:trHeight w:val="437" w:hRule="exact"/>
        </w:trPr>
        <w:tc>
          <w:tcPr>
            <w:tcW w:w="707" w:type="dxa"/>
            <w:tcBorders>
              <w:top w:val="single" w:color="auto" w:sz="4" w:space="0"/>
              <w:left w:val="single" w:color="auto" w:sz="4"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r>
              <w:rPr>
                <w:rFonts w:hint="eastAsia" w:ascii="楷体" w:hAnsi="楷体" w:eastAsia="楷体" w:cs="楷体"/>
                <w:sz w:val="24"/>
                <w:szCs w:val="24"/>
              </w:rPr>
              <w:t>…</w:t>
            </w:r>
          </w:p>
        </w:tc>
        <w:tc>
          <w:tcPr>
            <w:tcW w:w="3101"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rPr>
                <w:rFonts w:hint="eastAsia" w:ascii="楷体" w:hAnsi="楷体" w:eastAsia="楷体" w:cs="楷体"/>
                <w:sz w:val="24"/>
                <w:szCs w:val="24"/>
              </w:rPr>
            </w:pPr>
          </w:p>
        </w:tc>
        <w:tc>
          <w:tcPr>
            <w:tcW w:w="2268" w:type="dxa"/>
            <w:tcBorders>
              <w:top w:val="single" w:color="auto" w:sz="4" w:space="0"/>
              <w:left w:val="single" w:color="auto" w:sz="6" w:space="0"/>
              <w:bottom w:val="single" w:color="auto" w:sz="4" w:space="0"/>
              <w:right w:val="single" w:color="auto" w:sz="6"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c>
          <w:tcPr>
            <w:tcW w:w="2269" w:type="dxa"/>
            <w:tcBorders>
              <w:top w:val="single" w:color="auto" w:sz="4" w:space="0"/>
              <w:left w:val="single" w:color="auto" w:sz="6" w:space="0"/>
              <w:bottom w:val="single" w:color="auto" w:sz="4" w:space="0"/>
              <w:right w:val="single" w:color="auto" w:sz="4" w:space="0"/>
            </w:tcBorders>
            <w:vAlign w:val="center"/>
          </w:tcPr>
          <w:p>
            <w:pPr>
              <w:pStyle w:val="38"/>
              <w:autoSpaceDE w:val="0"/>
              <w:autoSpaceDN w:val="0"/>
              <w:adjustRightInd w:val="0"/>
              <w:spacing w:line="360" w:lineRule="auto"/>
              <w:ind w:right="84" w:rightChars="40"/>
              <w:jc w:val="center"/>
              <w:rPr>
                <w:rFonts w:hint="eastAsia" w:ascii="楷体" w:hAnsi="楷体" w:eastAsia="楷体" w:cs="楷体"/>
                <w:sz w:val="24"/>
                <w:szCs w:val="24"/>
              </w:rPr>
            </w:pPr>
          </w:p>
        </w:tc>
      </w:tr>
    </w:tbl>
    <w:p>
      <w:pPr>
        <w:rPr>
          <w:rFonts w:hint="eastAsia" w:ascii="楷体" w:hAnsi="楷体" w:eastAsia="楷体" w:cs="楷体"/>
          <w:sz w:val="24"/>
        </w:rPr>
      </w:pPr>
    </w:p>
    <w:p>
      <w:pPr>
        <w:ind w:firstLine="480" w:firstLineChars="200"/>
        <w:rPr>
          <w:rFonts w:hint="eastAsia" w:ascii="楷体" w:hAnsi="楷体" w:eastAsia="楷体" w:cs="楷体"/>
          <w:sz w:val="24"/>
        </w:rPr>
      </w:pPr>
      <w:r>
        <w:rPr>
          <w:rFonts w:hint="eastAsia" w:ascii="楷体" w:hAnsi="楷体" w:eastAsia="楷体" w:cs="楷体"/>
          <w:sz w:val="24"/>
        </w:rPr>
        <w:t>说明：请按第二部分采购需求列出差异内容，若无差异则留空，视为完全响应。</w:t>
      </w: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pStyle w:val="2"/>
        <w:keepNext w:val="0"/>
        <w:jc w:val="both"/>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b/>
          <w:sz w:val="24"/>
        </w:rPr>
      </w:pPr>
      <w:r>
        <w:rPr>
          <w:rFonts w:hint="eastAsia" w:ascii="楷体" w:hAnsi="楷体" w:eastAsia="楷体" w:cs="楷体"/>
          <w:bCs/>
          <w:color w:val="000000" w:themeColor="text1"/>
          <w:sz w:val="30"/>
          <w:szCs w:val="30"/>
          <w14:textFill>
            <w14:solidFill>
              <w14:schemeClr w14:val="tx1"/>
            </w14:solidFill>
          </w14:textFill>
        </w:rPr>
        <w:t>附件8、业绩一览表</w:t>
      </w:r>
    </w:p>
    <w:p>
      <w:pPr>
        <w:pStyle w:val="39"/>
        <w:spacing w:line="360" w:lineRule="auto"/>
        <w:jc w:val="center"/>
        <w:rPr>
          <w:rFonts w:hint="eastAsia" w:ascii="楷体" w:hAnsi="楷体" w:eastAsia="楷体" w:cs="楷体"/>
          <w:b/>
          <w:sz w:val="24"/>
        </w:rPr>
      </w:pPr>
    </w:p>
    <w:p>
      <w:pPr>
        <w:pStyle w:val="39"/>
        <w:spacing w:line="360" w:lineRule="auto"/>
        <w:jc w:val="center"/>
        <w:rPr>
          <w:rFonts w:hint="eastAsia" w:ascii="楷体" w:hAnsi="楷体" w:eastAsia="楷体" w:cs="楷体"/>
          <w:b/>
          <w:sz w:val="24"/>
          <w:lang w:val="en-GB"/>
        </w:rPr>
      </w:pPr>
      <w:r>
        <w:rPr>
          <w:rFonts w:hint="eastAsia" w:ascii="楷体" w:hAnsi="楷体" w:eastAsia="楷体" w:cs="楷体"/>
          <w:b/>
          <w:sz w:val="24"/>
        </w:rPr>
        <w:t>业绩一览表</w:t>
      </w:r>
    </w:p>
    <w:tbl>
      <w:tblPr>
        <w:tblStyle w:val="14"/>
        <w:tblW w:w="8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9"/>
        <w:gridCol w:w="1338"/>
        <w:gridCol w:w="1338"/>
        <w:gridCol w:w="1224"/>
        <w:gridCol w:w="1452"/>
        <w:gridCol w:w="1338"/>
        <w:gridCol w:w="13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29" w:type="dxa"/>
            <w:tcBorders>
              <w:top w:val="single" w:color="auto" w:sz="6" w:space="0"/>
              <w:left w:val="single" w:color="auto" w:sz="6" w:space="0"/>
              <w:bottom w:val="single" w:color="auto" w:sz="6" w:space="0"/>
              <w:right w:val="single" w:color="auto" w:sz="6" w:space="0"/>
            </w:tcBorders>
            <w:vAlign w:val="center"/>
          </w:tcPr>
          <w:p>
            <w:pPr>
              <w:pStyle w:val="39"/>
              <w:jc w:val="center"/>
              <w:rPr>
                <w:rFonts w:hint="eastAsia" w:ascii="楷体" w:hAnsi="楷体" w:eastAsia="楷体" w:cs="楷体"/>
                <w:bCs/>
                <w:sz w:val="24"/>
              </w:rPr>
            </w:pPr>
            <w:r>
              <w:rPr>
                <w:rFonts w:hint="eastAsia" w:ascii="楷体" w:hAnsi="楷体" w:eastAsia="楷体" w:cs="楷体"/>
                <w:bCs/>
                <w:sz w:val="24"/>
              </w:rPr>
              <w:t>序号</w:t>
            </w:r>
          </w:p>
        </w:tc>
        <w:tc>
          <w:tcPr>
            <w:tcW w:w="1338" w:type="dxa"/>
            <w:tcBorders>
              <w:top w:val="single" w:color="auto" w:sz="6" w:space="0"/>
              <w:left w:val="single" w:color="auto" w:sz="6" w:space="0"/>
              <w:bottom w:val="single" w:color="auto" w:sz="6" w:space="0"/>
              <w:right w:val="single" w:color="auto" w:sz="6" w:space="0"/>
            </w:tcBorders>
            <w:vAlign w:val="center"/>
          </w:tcPr>
          <w:p>
            <w:pPr>
              <w:pStyle w:val="39"/>
              <w:jc w:val="center"/>
              <w:rPr>
                <w:rFonts w:hint="eastAsia" w:ascii="楷体" w:hAnsi="楷体" w:eastAsia="楷体" w:cs="楷体"/>
                <w:bCs/>
                <w:sz w:val="24"/>
              </w:rPr>
            </w:pPr>
            <w:r>
              <w:rPr>
                <w:rFonts w:hint="eastAsia" w:ascii="楷体" w:hAnsi="楷体" w:eastAsia="楷体" w:cs="楷体"/>
                <w:bCs/>
                <w:sz w:val="24"/>
              </w:rPr>
              <w:t>项目名称</w:t>
            </w:r>
          </w:p>
        </w:tc>
        <w:tc>
          <w:tcPr>
            <w:tcW w:w="1338" w:type="dxa"/>
            <w:tcBorders>
              <w:top w:val="single" w:color="auto" w:sz="6" w:space="0"/>
              <w:left w:val="single" w:color="auto" w:sz="6" w:space="0"/>
              <w:bottom w:val="single" w:color="auto" w:sz="6" w:space="0"/>
              <w:right w:val="single" w:color="auto" w:sz="6" w:space="0"/>
            </w:tcBorders>
            <w:vAlign w:val="center"/>
          </w:tcPr>
          <w:p>
            <w:pPr>
              <w:pStyle w:val="39"/>
              <w:jc w:val="center"/>
              <w:rPr>
                <w:rFonts w:hint="eastAsia" w:ascii="楷体" w:hAnsi="楷体" w:eastAsia="楷体" w:cs="楷体"/>
                <w:bCs/>
                <w:sz w:val="24"/>
              </w:rPr>
            </w:pPr>
            <w:r>
              <w:rPr>
                <w:rFonts w:hint="eastAsia" w:ascii="楷体" w:hAnsi="楷体" w:eastAsia="楷体" w:cs="楷体"/>
                <w:bCs/>
                <w:sz w:val="24"/>
              </w:rPr>
              <w:t>项目地址</w:t>
            </w:r>
          </w:p>
        </w:tc>
        <w:tc>
          <w:tcPr>
            <w:tcW w:w="1224" w:type="dxa"/>
            <w:tcBorders>
              <w:top w:val="single" w:color="auto" w:sz="6" w:space="0"/>
              <w:left w:val="single" w:color="auto" w:sz="6" w:space="0"/>
              <w:bottom w:val="single" w:color="auto" w:sz="6" w:space="0"/>
              <w:right w:val="single" w:color="auto" w:sz="6" w:space="0"/>
            </w:tcBorders>
            <w:vAlign w:val="center"/>
          </w:tcPr>
          <w:p>
            <w:pPr>
              <w:pStyle w:val="39"/>
              <w:jc w:val="center"/>
              <w:rPr>
                <w:rFonts w:hint="eastAsia" w:ascii="楷体" w:hAnsi="楷体" w:eastAsia="楷体" w:cs="楷体"/>
                <w:bCs/>
                <w:sz w:val="24"/>
              </w:rPr>
            </w:pPr>
            <w:r>
              <w:rPr>
                <w:rFonts w:hint="eastAsia" w:ascii="楷体" w:hAnsi="楷体" w:eastAsia="楷体" w:cs="楷体"/>
                <w:bCs/>
                <w:sz w:val="24"/>
              </w:rPr>
              <w:t>合同总价</w:t>
            </w:r>
          </w:p>
        </w:tc>
        <w:tc>
          <w:tcPr>
            <w:tcW w:w="1452" w:type="dxa"/>
            <w:tcBorders>
              <w:top w:val="single" w:color="auto" w:sz="6" w:space="0"/>
              <w:left w:val="single" w:color="auto" w:sz="6" w:space="0"/>
              <w:bottom w:val="single" w:color="auto" w:sz="6" w:space="0"/>
              <w:right w:val="single" w:color="auto" w:sz="6" w:space="0"/>
            </w:tcBorders>
            <w:vAlign w:val="center"/>
          </w:tcPr>
          <w:p>
            <w:pPr>
              <w:pStyle w:val="39"/>
              <w:jc w:val="center"/>
              <w:rPr>
                <w:rFonts w:hint="eastAsia" w:ascii="楷体" w:hAnsi="楷体" w:eastAsia="楷体" w:cs="楷体"/>
                <w:bCs/>
                <w:sz w:val="24"/>
              </w:rPr>
            </w:pPr>
            <w:r>
              <w:rPr>
                <w:rFonts w:hint="eastAsia" w:ascii="楷体" w:hAnsi="楷体" w:eastAsia="楷体" w:cs="楷体"/>
                <w:bCs/>
                <w:sz w:val="24"/>
              </w:rPr>
              <w:t>合同期限及签订时间</w:t>
            </w:r>
          </w:p>
        </w:tc>
        <w:tc>
          <w:tcPr>
            <w:tcW w:w="1338" w:type="dxa"/>
            <w:tcBorders>
              <w:top w:val="single" w:color="auto" w:sz="6" w:space="0"/>
              <w:left w:val="single" w:color="auto" w:sz="6" w:space="0"/>
              <w:bottom w:val="single" w:color="auto" w:sz="6" w:space="0"/>
              <w:right w:val="single" w:color="auto" w:sz="6" w:space="0"/>
            </w:tcBorders>
            <w:vAlign w:val="center"/>
          </w:tcPr>
          <w:p>
            <w:pPr>
              <w:pStyle w:val="39"/>
              <w:jc w:val="center"/>
              <w:rPr>
                <w:rFonts w:hint="eastAsia" w:ascii="楷体" w:hAnsi="楷体" w:eastAsia="楷体" w:cs="楷体"/>
                <w:bCs/>
                <w:sz w:val="24"/>
              </w:rPr>
            </w:pPr>
            <w:r>
              <w:rPr>
                <w:rFonts w:hint="eastAsia" w:ascii="楷体" w:hAnsi="楷体" w:eastAsia="楷体" w:cs="楷体"/>
                <w:bCs/>
                <w:sz w:val="24"/>
              </w:rPr>
              <w:t>项目主要内容</w:t>
            </w:r>
          </w:p>
        </w:tc>
        <w:tc>
          <w:tcPr>
            <w:tcW w:w="1339" w:type="dxa"/>
            <w:tcBorders>
              <w:top w:val="single" w:color="auto" w:sz="6" w:space="0"/>
              <w:left w:val="single" w:color="auto" w:sz="6" w:space="0"/>
              <w:bottom w:val="single" w:color="auto" w:sz="6" w:space="0"/>
              <w:right w:val="single" w:color="auto" w:sz="6" w:space="0"/>
            </w:tcBorders>
            <w:vAlign w:val="center"/>
          </w:tcPr>
          <w:p>
            <w:pPr>
              <w:pStyle w:val="39"/>
              <w:jc w:val="center"/>
              <w:rPr>
                <w:rFonts w:hint="eastAsia" w:ascii="楷体" w:hAnsi="楷体" w:eastAsia="楷体" w:cs="楷体"/>
                <w:bCs/>
                <w:sz w:val="24"/>
              </w:rPr>
            </w:pPr>
            <w:r>
              <w:rPr>
                <w:rFonts w:hint="eastAsia" w:ascii="楷体" w:hAnsi="楷体" w:eastAsia="楷体" w:cs="楷体"/>
                <w:bCs/>
                <w:sz w:val="24"/>
              </w:rPr>
              <w:t>项目单位联系人及电话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429" w:type="dxa"/>
            <w:tcBorders>
              <w:top w:val="single" w:color="auto" w:sz="6" w:space="0"/>
              <w:left w:val="single" w:color="auto" w:sz="6" w:space="0"/>
              <w:bottom w:val="single" w:color="auto" w:sz="6" w:space="0"/>
              <w:right w:val="single" w:color="auto" w:sz="6" w:space="0"/>
            </w:tcBorders>
          </w:tcPr>
          <w:p>
            <w:pPr>
              <w:pStyle w:val="39"/>
              <w:spacing w:line="360" w:lineRule="auto"/>
              <w:jc w:val="center"/>
              <w:rPr>
                <w:rFonts w:hint="eastAsia" w:ascii="楷体" w:hAnsi="楷体" w:eastAsia="楷体" w:cs="楷体"/>
                <w:sz w:val="24"/>
              </w:rPr>
            </w:pPr>
            <w:r>
              <w:rPr>
                <w:rFonts w:hint="eastAsia" w:ascii="楷体" w:hAnsi="楷体" w:eastAsia="楷体" w:cs="楷体"/>
                <w:sz w:val="24"/>
              </w:rPr>
              <w:t>1</w:t>
            </w: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224"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452"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9"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429" w:type="dxa"/>
            <w:tcBorders>
              <w:top w:val="single" w:color="auto" w:sz="6" w:space="0"/>
              <w:left w:val="single" w:color="auto" w:sz="6" w:space="0"/>
              <w:bottom w:val="single" w:color="auto" w:sz="6" w:space="0"/>
              <w:right w:val="single" w:color="auto" w:sz="6" w:space="0"/>
            </w:tcBorders>
          </w:tcPr>
          <w:p>
            <w:pPr>
              <w:pStyle w:val="39"/>
              <w:spacing w:line="360" w:lineRule="auto"/>
              <w:jc w:val="center"/>
              <w:rPr>
                <w:rFonts w:hint="eastAsia" w:ascii="楷体" w:hAnsi="楷体" w:eastAsia="楷体" w:cs="楷体"/>
                <w:sz w:val="24"/>
              </w:rPr>
            </w:pPr>
            <w:r>
              <w:rPr>
                <w:rFonts w:hint="eastAsia" w:ascii="楷体" w:hAnsi="楷体" w:eastAsia="楷体" w:cs="楷体"/>
                <w:sz w:val="24"/>
              </w:rPr>
              <w:t>2</w:t>
            </w: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224"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452"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9"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429" w:type="dxa"/>
            <w:tcBorders>
              <w:top w:val="single" w:color="auto" w:sz="6" w:space="0"/>
              <w:left w:val="single" w:color="auto" w:sz="6" w:space="0"/>
              <w:bottom w:val="single" w:color="auto" w:sz="6" w:space="0"/>
              <w:right w:val="single" w:color="auto" w:sz="6" w:space="0"/>
            </w:tcBorders>
          </w:tcPr>
          <w:p>
            <w:pPr>
              <w:pStyle w:val="39"/>
              <w:spacing w:line="360" w:lineRule="auto"/>
              <w:jc w:val="center"/>
              <w:rPr>
                <w:rFonts w:hint="eastAsia" w:ascii="楷体" w:hAnsi="楷体" w:eastAsia="楷体" w:cs="楷体"/>
                <w:sz w:val="24"/>
              </w:rPr>
            </w:pPr>
            <w:r>
              <w:rPr>
                <w:rFonts w:hint="eastAsia" w:ascii="楷体" w:hAnsi="楷体" w:eastAsia="楷体" w:cs="楷体"/>
                <w:sz w:val="24"/>
              </w:rPr>
              <w:t>3</w:t>
            </w: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224"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452"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9"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429" w:type="dxa"/>
            <w:tcBorders>
              <w:top w:val="single" w:color="auto" w:sz="6" w:space="0"/>
              <w:left w:val="single" w:color="auto" w:sz="6" w:space="0"/>
              <w:bottom w:val="single" w:color="auto" w:sz="6" w:space="0"/>
              <w:right w:val="single" w:color="auto" w:sz="6" w:space="0"/>
            </w:tcBorders>
          </w:tcPr>
          <w:p>
            <w:pPr>
              <w:pStyle w:val="39"/>
              <w:spacing w:line="360" w:lineRule="auto"/>
              <w:jc w:val="center"/>
              <w:rPr>
                <w:rFonts w:hint="eastAsia" w:ascii="楷体" w:hAnsi="楷体" w:eastAsia="楷体" w:cs="楷体"/>
                <w:sz w:val="24"/>
              </w:rPr>
            </w:pPr>
            <w:r>
              <w:rPr>
                <w:rFonts w:hint="eastAsia" w:ascii="楷体" w:hAnsi="楷体" w:eastAsia="楷体" w:cs="楷体"/>
                <w:sz w:val="24"/>
              </w:rPr>
              <w:t>4</w:t>
            </w: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224"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452"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9"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429"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r>
              <w:rPr>
                <w:rFonts w:hint="eastAsia" w:ascii="楷体" w:hAnsi="楷体" w:eastAsia="楷体" w:cs="楷体"/>
                <w:sz w:val="24"/>
              </w:rPr>
              <w:t>…</w:t>
            </w: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224"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452"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8"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c>
          <w:tcPr>
            <w:tcW w:w="1339" w:type="dxa"/>
            <w:tcBorders>
              <w:top w:val="single" w:color="auto" w:sz="6" w:space="0"/>
              <w:left w:val="single" w:color="auto" w:sz="6" w:space="0"/>
              <w:bottom w:val="single" w:color="auto" w:sz="6" w:space="0"/>
              <w:right w:val="single" w:color="auto" w:sz="6" w:space="0"/>
            </w:tcBorders>
          </w:tcPr>
          <w:p>
            <w:pPr>
              <w:pStyle w:val="39"/>
              <w:spacing w:line="360" w:lineRule="auto"/>
              <w:rPr>
                <w:rFonts w:hint="eastAsia" w:ascii="楷体" w:hAnsi="楷体" w:eastAsia="楷体" w:cs="楷体"/>
                <w:sz w:val="24"/>
              </w:rPr>
            </w:pPr>
          </w:p>
        </w:tc>
      </w:tr>
    </w:tbl>
    <w:p>
      <w:pPr>
        <w:pStyle w:val="39"/>
        <w:tabs>
          <w:tab w:val="left" w:pos="1050"/>
          <w:tab w:val="left" w:pos="1838"/>
        </w:tabs>
        <w:spacing w:line="360" w:lineRule="auto"/>
        <w:rPr>
          <w:rFonts w:hint="eastAsia" w:ascii="楷体" w:hAnsi="楷体" w:eastAsia="楷体" w:cs="楷体"/>
          <w:sz w:val="24"/>
        </w:rPr>
      </w:pPr>
    </w:p>
    <w:p>
      <w:pPr>
        <w:pStyle w:val="39"/>
        <w:tabs>
          <w:tab w:val="left" w:pos="1050"/>
          <w:tab w:val="left" w:pos="1838"/>
        </w:tabs>
        <w:spacing w:line="360" w:lineRule="auto"/>
        <w:ind w:firstLine="480" w:firstLineChars="200"/>
        <w:rPr>
          <w:rFonts w:hint="eastAsia" w:ascii="楷体" w:hAnsi="楷体" w:eastAsia="楷体" w:cs="楷体"/>
          <w:sz w:val="24"/>
        </w:rPr>
      </w:pPr>
      <w:r>
        <w:rPr>
          <w:rFonts w:hint="eastAsia" w:ascii="楷体" w:hAnsi="楷体" w:eastAsia="楷体" w:cs="楷体"/>
          <w:sz w:val="24"/>
        </w:rPr>
        <w:t>说明：</w:t>
      </w:r>
    </w:p>
    <w:p>
      <w:pPr>
        <w:pStyle w:val="39"/>
        <w:tabs>
          <w:tab w:val="left" w:pos="-142"/>
          <w:tab w:val="left" w:pos="0"/>
        </w:tabs>
        <w:spacing w:line="360" w:lineRule="auto"/>
        <w:ind w:firstLine="480" w:firstLineChars="200"/>
        <w:rPr>
          <w:rFonts w:hint="eastAsia" w:ascii="楷体" w:hAnsi="楷体" w:eastAsia="楷体" w:cs="楷体"/>
          <w:sz w:val="24"/>
        </w:rPr>
      </w:pPr>
      <w:r>
        <w:rPr>
          <w:rFonts w:hint="eastAsia" w:ascii="楷体" w:hAnsi="楷体" w:eastAsia="楷体" w:cs="楷体"/>
          <w:sz w:val="24"/>
        </w:rPr>
        <w:t>1、依据商务评审中的业绩要求填写本表。</w:t>
      </w:r>
    </w:p>
    <w:p>
      <w:pPr>
        <w:pStyle w:val="39"/>
        <w:tabs>
          <w:tab w:val="left" w:pos="-142"/>
          <w:tab w:val="left" w:pos="0"/>
        </w:tabs>
        <w:spacing w:line="360" w:lineRule="auto"/>
        <w:ind w:firstLine="480" w:firstLineChars="200"/>
        <w:rPr>
          <w:rFonts w:hint="eastAsia" w:ascii="楷体" w:hAnsi="楷体" w:eastAsia="楷体" w:cs="楷体"/>
          <w:sz w:val="24"/>
        </w:rPr>
      </w:pPr>
      <w:r>
        <w:rPr>
          <w:rFonts w:hint="eastAsia" w:ascii="楷体" w:hAnsi="楷体" w:eastAsia="楷体" w:cs="楷体"/>
          <w:sz w:val="24"/>
        </w:rPr>
        <w:t>2、请投标人严格按照要求提交相关证明材料，否则有可能影响评审结果。</w:t>
      </w: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bCs/>
          <w:color w:val="000000" w:themeColor="text1"/>
          <w:sz w:val="30"/>
          <w:szCs w:val="30"/>
          <w14:textFill>
            <w14:solidFill>
              <w14:schemeClr w14:val="tx1"/>
            </w14:solidFill>
          </w14:textFill>
        </w:rPr>
      </w:pPr>
      <w:r>
        <w:rPr>
          <w:rFonts w:hint="eastAsia" w:ascii="楷体" w:hAnsi="楷体" w:eastAsia="楷体" w:cs="楷体"/>
          <w:bCs/>
          <w:color w:val="000000" w:themeColor="text1"/>
          <w:sz w:val="30"/>
          <w:szCs w:val="30"/>
          <w14:textFill>
            <w14:solidFill>
              <w14:schemeClr w14:val="tx1"/>
            </w14:solidFill>
          </w14:textFill>
        </w:rPr>
        <w:t>附件9、证书一览表</w:t>
      </w:r>
    </w:p>
    <w:p>
      <w:pPr>
        <w:pStyle w:val="18"/>
        <w:spacing w:line="360" w:lineRule="auto"/>
        <w:jc w:val="center"/>
        <w:rPr>
          <w:rFonts w:hint="eastAsia" w:ascii="楷体" w:hAnsi="楷体" w:eastAsia="楷体" w:cs="楷体"/>
          <w:b/>
          <w:sz w:val="24"/>
          <w:szCs w:val="24"/>
        </w:rPr>
      </w:pPr>
    </w:p>
    <w:p>
      <w:pPr>
        <w:pStyle w:val="18"/>
        <w:spacing w:line="360" w:lineRule="auto"/>
        <w:jc w:val="center"/>
        <w:rPr>
          <w:rFonts w:hint="eastAsia" w:ascii="楷体" w:hAnsi="楷体" w:eastAsia="楷体" w:cs="楷体"/>
          <w:sz w:val="24"/>
          <w:szCs w:val="24"/>
        </w:rPr>
      </w:pPr>
      <w:r>
        <w:rPr>
          <w:rFonts w:hint="eastAsia" w:ascii="楷体" w:hAnsi="楷体" w:eastAsia="楷体" w:cs="楷体"/>
          <w:b/>
          <w:sz w:val="24"/>
          <w:szCs w:val="24"/>
        </w:rPr>
        <w:t>证书一览表</w:t>
      </w:r>
    </w:p>
    <w:tbl>
      <w:tblPr>
        <w:tblStyle w:val="14"/>
        <w:tblW w:w="4931" w:type="pct"/>
        <w:tblInd w:w="111"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2149"/>
        <w:gridCol w:w="1905"/>
        <w:gridCol w:w="1905"/>
        <w:gridCol w:w="163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82" w:type="pct"/>
            <w:tcBorders>
              <w:top w:val="single" w:color="auto" w:sz="4" w:space="0"/>
              <w:left w:val="single" w:color="auto" w:sz="4" w:space="0"/>
              <w:bottom w:val="single" w:color="auto" w:sz="4" w:space="0"/>
            </w:tcBorders>
          </w:tcPr>
          <w:p>
            <w:pPr>
              <w:pStyle w:val="18"/>
              <w:spacing w:line="360" w:lineRule="auto"/>
              <w:jc w:val="center"/>
              <w:rPr>
                <w:rFonts w:hint="eastAsia" w:ascii="楷体" w:hAnsi="楷体" w:eastAsia="楷体" w:cs="楷体"/>
                <w:bCs/>
                <w:sz w:val="24"/>
                <w:szCs w:val="24"/>
              </w:rPr>
            </w:pPr>
            <w:r>
              <w:rPr>
                <w:rFonts w:hint="eastAsia" w:ascii="楷体" w:hAnsi="楷体" w:eastAsia="楷体" w:cs="楷体"/>
                <w:bCs/>
                <w:sz w:val="24"/>
                <w:szCs w:val="24"/>
              </w:rPr>
              <w:t>序号</w:t>
            </w:r>
          </w:p>
        </w:tc>
        <w:tc>
          <w:tcPr>
            <w:tcW w:w="1278" w:type="pct"/>
            <w:tcBorders>
              <w:top w:val="single" w:color="auto" w:sz="4" w:space="0"/>
              <w:left w:val="single" w:color="auto" w:sz="4" w:space="0"/>
              <w:bottom w:val="single" w:color="auto" w:sz="4" w:space="0"/>
            </w:tcBorders>
          </w:tcPr>
          <w:p>
            <w:pPr>
              <w:pStyle w:val="18"/>
              <w:spacing w:line="360" w:lineRule="auto"/>
              <w:jc w:val="center"/>
              <w:rPr>
                <w:rFonts w:hint="eastAsia" w:ascii="楷体" w:hAnsi="楷体" w:eastAsia="楷体" w:cs="楷体"/>
                <w:bCs/>
                <w:sz w:val="24"/>
                <w:szCs w:val="24"/>
              </w:rPr>
            </w:pPr>
            <w:r>
              <w:rPr>
                <w:rFonts w:hint="eastAsia" w:ascii="楷体" w:hAnsi="楷体" w:eastAsia="楷体" w:cs="楷体"/>
                <w:bCs/>
                <w:sz w:val="24"/>
                <w:szCs w:val="24"/>
              </w:rPr>
              <w:t>证书名称</w:t>
            </w:r>
          </w:p>
        </w:tc>
        <w:tc>
          <w:tcPr>
            <w:tcW w:w="1133" w:type="pct"/>
            <w:tcBorders>
              <w:top w:val="single" w:color="auto" w:sz="4" w:space="0"/>
              <w:bottom w:val="single" w:color="auto" w:sz="4" w:space="0"/>
            </w:tcBorders>
          </w:tcPr>
          <w:p>
            <w:pPr>
              <w:pStyle w:val="18"/>
              <w:spacing w:line="360" w:lineRule="auto"/>
              <w:jc w:val="center"/>
              <w:rPr>
                <w:rFonts w:hint="eastAsia" w:ascii="楷体" w:hAnsi="楷体" w:eastAsia="楷体" w:cs="楷体"/>
                <w:bCs/>
                <w:sz w:val="24"/>
                <w:szCs w:val="24"/>
              </w:rPr>
            </w:pPr>
            <w:r>
              <w:rPr>
                <w:rFonts w:hint="eastAsia" w:ascii="楷体" w:hAnsi="楷体" w:eastAsia="楷体" w:cs="楷体"/>
                <w:bCs/>
                <w:sz w:val="24"/>
                <w:szCs w:val="24"/>
              </w:rPr>
              <w:t>发证单位</w:t>
            </w:r>
          </w:p>
        </w:tc>
        <w:tc>
          <w:tcPr>
            <w:tcW w:w="1133" w:type="pct"/>
            <w:tcBorders>
              <w:top w:val="single" w:color="auto" w:sz="4" w:space="0"/>
              <w:bottom w:val="single" w:color="auto" w:sz="4" w:space="0"/>
            </w:tcBorders>
          </w:tcPr>
          <w:p>
            <w:pPr>
              <w:pStyle w:val="18"/>
              <w:spacing w:line="360" w:lineRule="auto"/>
              <w:jc w:val="center"/>
              <w:rPr>
                <w:rFonts w:hint="eastAsia" w:ascii="楷体" w:hAnsi="楷体" w:eastAsia="楷体" w:cs="楷体"/>
                <w:bCs/>
                <w:sz w:val="24"/>
                <w:szCs w:val="24"/>
              </w:rPr>
            </w:pPr>
            <w:r>
              <w:rPr>
                <w:rFonts w:hint="eastAsia" w:ascii="楷体" w:hAnsi="楷体" w:eastAsia="楷体" w:cs="楷体"/>
                <w:bCs/>
                <w:sz w:val="24"/>
                <w:szCs w:val="24"/>
              </w:rPr>
              <w:t>证书等级</w:t>
            </w:r>
          </w:p>
        </w:tc>
        <w:tc>
          <w:tcPr>
            <w:tcW w:w="971" w:type="pct"/>
            <w:tcBorders>
              <w:top w:val="single" w:color="auto" w:sz="4" w:space="0"/>
              <w:bottom w:val="single" w:color="auto" w:sz="4" w:space="0"/>
              <w:right w:val="single" w:color="auto" w:sz="4" w:space="0"/>
            </w:tcBorders>
          </w:tcPr>
          <w:p>
            <w:pPr>
              <w:pStyle w:val="18"/>
              <w:spacing w:line="360" w:lineRule="auto"/>
              <w:jc w:val="center"/>
              <w:rPr>
                <w:rFonts w:hint="eastAsia" w:ascii="楷体" w:hAnsi="楷体" w:eastAsia="楷体" w:cs="楷体"/>
                <w:bCs/>
                <w:sz w:val="24"/>
                <w:szCs w:val="24"/>
              </w:rPr>
            </w:pPr>
            <w:r>
              <w:rPr>
                <w:rFonts w:hint="eastAsia" w:ascii="楷体" w:hAnsi="楷体" w:eastAsia="楷体" w:cs="楷体"/>
                <w:bCs/>
                <w:sz w:val="24"/>
                <w:szCs w:val="24"/>
              </w:rPr>
              <w:t>证书有效期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82" w:type="pct"/>
            <w:tcBorders>
              <w:top w:val="single" w:color="auto" w:sz="4" w:space="0"/>
              <w:left w:val="single" w:color="auto" w:sz="4" w:space="0"/>
            </w:tcBorders>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1278" w:type="pct"/>
            <w:tcBorders>
              <w:top w:val="single" w:color="auto" w:sz="4" w:space="0"/>
              <w:left w:val="single" w:color="auto" w:sz="4" w:space="0"/>
            </w:tcBorders>
          </w:tcPr>
          <w:p>
            <w:pPr>
              <w:pStyle w:val="18"/>
              <w:spacing w:line="360" w:lineRule="auto"/>
              <w:jc w:val="center"/>
              <w:rPr>
                <w:rFonts w:hint="eastAsia" w:ascii="楷体" w:hAnsi="楷体" w:eastAsia="楷体" w:cs="楷体"/>
                <w:sz w:val="24"/>
                <w:szCs w:val="24"/>
              </w:rPr>
            </w:pPr>
          </w:p>
        </w:tc>
        <w:tc>
          <w:tcPr>
            <w:tcW w:w="1133" w:type="pct"/>
            <w:tcBorders>
              <w:top w:val="single" w:color="auto" w:sz="4" w:space="0"/>
            </w:tcBorders>
          </w:tcPr>
          <w:p>
            <w:pPr>
              <w:pStyle w:val="18"/>
              <w:spacing w:line="360" w:lineRule="auto"/>
              <w:jc w:val="center"/>
              <w:rPr>
                <w:rFonts w:hint="eastAsia" w:ascii="楷体" w:hAnsi="楷体" w:eastAsia="楷体" w:cs="楷体"/>
                <w:sz w:val="24"/>
                <w:szCs w:val="24"/>
              </w:rPr>
            </w:pPr>
          </w:p>
        </w:tc>
        <w:tc>
          <w:tcPr>
            <w:tcW w:w="1133" w:type="pct"/>
            <w:tcBorders>
              <w:top w:val="single" w:color="auto" w:sz="4" w:space="0"/>
            </w:tcBorders>
          </w:tcPr>
          <w:p>
            <w:pPr>
              <w:pStyle w:val="18"/>
              <w:spacing w:line="360" w:lineRule="auto"/>
              <w:jc w:val="center"/>
              <w:rPr>
                <w:rFonts w:hint="eastAsia" w:ascii="楷体" w:hAnsi="楷体" w:eastAsia="楷体" w:cs="楷体"/>
                <w:sz w:val="24"/>
                <w:szCs w:val="24"/>
              </w:rPr>
            </w:pPr>
          </w:p>
        </w:tc>
        <w:tc>
          <w:tcPr>
            <w:tcW w:w="971" w:type="pct"/>
            <w:tcBorders>
              <w:top w:val="single" w:color="auto" w:sz="4" w:space="0"/>
              <w:right w:val="single" w:color="auto" w:sz="4" w:space="0"/>
            </w:tcBorders>
          </w:tcPr>
          <w:p>
            <w:pPr>
              <w:pStyle w:val="18"/>
              <w:spacing w:line="360" w:lineRule="auto"/>
              <w:jc w:val="center"/>
              <w:rPr>
                <w:rFonts w:hint="eastAsia" w:ascii="楷体" w:hAnsi="楷体" w:eastAsia="楷体" w:cs="楷体"/>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82" w:type="pct"/>
            <w:tcBorders>
              <w:left w:val="single" w:color="auto" w:sz="4" w:space="0"/>
            </w:tcBorders>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1278" w:type="pct"/>
            <w:tcBorders>
              <w:left w:val="single" w:color="auto" w:sz="4" w:space="0"/>
            </w:tcBorders>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971" w:type="pct"/>
            <w:tcBorders>
              <w:right w:val="single" w:color="auto" w:sz="4" w:space="0"/>
            </w:tcBorders>
          </w:tcPr>
          <w:p>
            <w:pPr>
              <w:pStyle w:val="18"/>
              <w:spacing w:line="360" w:lineRule="auto"/>
              <w:jc w:val="center"/>
              <w:rPr>
                <w:rFonts w:hint="eastAsia" w:ascii="楷体" w:hAnsi="楷体" w:eastAsia="楷体" w:cs="楷体"/>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82" w:type="pct"/>
            <w:tcBorders>
              <w:left w:val="single" w:color="auto" w:sz="4" w:space="0"/>
            </w:tcBorders>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1278" w:type="pct"/>
            <w:tcBorders>
              <w:left w:val="single" w:color="auto" w:sz="4" w:space="0"/>
            </w:tcBorders>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971" w:type="pct"/>
            <w:tcBorders>
              <w:right w:val="single" w:color="auto" w:sz="4" w:space="0"/>
            </w:tcBorders>
          </w:tcPr>
          <w:p>
            <w:pPr>
              <w:pStyle w:val="18"/>
              <w:spacing w:line="360" w:lineRule="auto"/>
              <w:jc w:val="center"/>
              <w:rPr>
                <w:rFonts w:hint="eastAsia" w:ascii="楷体" w:hAnsi="楷体" w:eastAsia="楷体" w:cs="楷体"/>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82" w:type="pct"/>
            <w:tcBorders>
              <w:left w:val="single" w:color="auto" w:sz="4" w:space="0"/>
            </w:tcBorders>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1278" w:type="pct"/>
            <w:tcBorders>
              <w:left w:val="single" w:color="auto" w:sz="4" w:space="0"/>
            </w:tcBorders>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971" w:type="pct"/>
            <w:tcBorders>
              <w:right w:val="single" w:color="auto" w:sz="4" w:space="0"/>
            </w:tcBorders>
          </w:tcPr>
          <w:p>
            <w:pPr>
              <w:pStyle w:val="18"/>
              <w:spacing w:line="360" w:lineRule="auto"/>
              <w:jc w:val="center"/>
              <w:rPr>
                <w:rFonts w:hint="eastAsia" w:ascii="楷体" w:hAnsi="楷体" w:eastAsia="楷体" w:cs="楷体"/>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82" w:type="pct"/>
            <w:tcBorders>
              <w:left w:val="single" w:color="auto" w:sz="4" w:space="0"/>
            </w:tcBorders>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5</w:t>
            </w:r>
          </w:p>
        </w:tc>
        <w:tc>
          <w:tcPr>
            <w:tcW w:w="1278" w:type="pct"/>
            <w:tcBorders>
              <w:left w:val="single" w:color="auto" w:sz="4" w:space="0"/>
            </w:tcBorders>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1133" w:type="pct"/>
          </w:tcPr>
          <w:p>
            <w:pPr>
              <w:pStyle w:val="18"/>
              <w:spacing w:line="360" w:lineRule="auto"/>
              <w:jc w:val="center"/>
              <w:rPr>
                <w:rFonts w:hint="eastAsia" w:ascii="楷体" w:hAnsi="楷体" w:eastAsia="楷体" w:cs="楷体"/>
                <w:sz w:val="24"/>
                <w:szCs w:val="24"/>
              </w:rPr>
            </w:pPr>
          </w:p>
        </w:tc>
        <w:tc>
          <w:tcPr>
            <w:tcW w:w="971" w:type="pct"/>
            <w:tcBorders>
              <w:right w:val="single" w:color="auto" w:sz="4" w:space="0"/>
            </w:tcBorders>
          </w:tcPr>
          <w:p>
            <w:pPr>
              <w:pStyle w:val="18"/>
              <w:spacing w:line="360" w:lineRule="auto"/>
              <w:jc w:val="center"/>
              <w:rPr>
                <w:rFonts w:hint="eastAsia" w:ascii="楷体" w:hAnsi="楷体" w:eastAsia="楷体" w:cs="楷体"/>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82" w:type="pct"/>
            <w:tcBorders>
              <w:left w:val="single" w:color="auto" w:sz="4" w:space="0"/>
              <w:bottom w:val="single" w:color="auto" w:sz="4" w:space="0"/>
            </w:tcBorders>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w:t>
            </w:r>
          </w:p>
        </w:tc>
        <w:tc>
          <w:tcPr>
            <w:tcW w:w="1278" w:type="pct"/>
            <w:tcBorders>
              <w:left w:val="single" w:color="auto" w:sz="4" w:space="0"/>
              <w:bottom w:val="single" w:color="auto" w:sz="4" w:space="0"/>
            </w:tcBorders>
          </w:tcPr>
          <w:p>
            <w:pPr>
              <w:pStyle w:val="18"/>
              <w:spacing w:line="360" w:lineRule="auto"/>
              <w:jc w:val="center"/>
              <w:rPr>
                <w:rFonts w:hint="eastAsia" w:ascii="楷体" w:hAnsi="楷体" w:eastAsia="楷体" w:cs="楷体"/>
                <w:sz w:val="24"/>
                <w:szCs w:val="24"/>
              </w:rPr>
            </w:pPr>
          </w:p>
        </w:tc>
        <w:tc>
          <w:tcPr>
            <w:tcW w:w="1133" w:type="pct"/>
            <w:tcBorders>
              <w:bottom w:val="single" w:color="auto" w:sz="4" w:space="0"/>
            </w:tcBorders>
          </w:tcPr>
          <w:p>
            <w:pPr>
              <w:pStyle w:val="18"/>
              <w:spacing w:line="360" w:lineRule="auto"/>
              <w:jc w:val="center"/>
              <w:rPr>
                <w:rFonts w:hint="eastAsia" w:ascii="楷体" w:hAnsi="楷体" w:eastAsia="楷体" w:cs="楷体"/>
                <w:sz w:val="24"/>
                <w:szCs w:val="24"/>
              </w:rPr>
            </w:pPr>
          </w:p>
        </w:tc>
        <w:tc>
          <w:tcPr>
            <w:tcW w:w="1133" w:type="pct"/>
            <w:tcBorders>
              <w:bottom w:val="single" w:color="auto" w:sz="4" w:space="0"/>
            </w:tcBorders>
          </w:tcPr>
          <w:p>
            <w:pPr>
              <w:pStyle w:val="18"/>
              <w:spacing w:line="360" w:lineRule="auto"/>
              <w:jc w:val="center"/>
              <w:rPr>
                <w:rFonts w:hint="eastAsia" w:ascii="楷体" w:hAnsi="楷体" w:eastAsia="楷体" w:cs="楷体"/>
                <w:sz w:val="24"/>
                <w:szCs w:val="24"/>
              </w:rPr>
            </w:pPr>
          </w:p>
        </w:tc>
        <w:tc>
          <w:tcPr>
            <w:tcW w:w="971" w:type="pct"/>
            <w:tcBorders>
              <w:bottom w:val="single" w:color="auto" w:sz="4" w:space="0"/>
              <w:right w:val="single" w:color="auto" w:sz="4" w:space="0"/>
            </w:tcBorders>
          </w:tcPr>
          <w:p>
            <w:pPr>
              <w:pStyle w:val="18"/>
              <w:spacing w:line="360" w:lineRule="auto"/>
              <w:jc w:val="center"/>
              <w:rPr>
                <w:rFonts w:hint="eastAsia" w:ascii="楷体" w:hAnsi="楷体" w:eastAsia="楷体" w:cs="楷体"/>
                <w:sz w:val="24"/>
                <w:szCs w:val="24"/>
              </w:rPr>
            </w:pPr>
          </w:p>
        </w:tc>
      </w:tr>
    </w:tbl>
    <w:p>
      <w:pPr>
        <w:pStyle w:val="18"/>
        <w:tabs>
          <w:tab w:val="left" w:pos="1050"/>
        </w:tabs>
        <w:spacing w:line="360" w:lineRule="auto"/>
        <w:jc w:val="both"/>
        <w:rPr>
          <w:rFonts w:hint="eastAsia" w:ascii="楷体" w:hAnsi="楷体" w:eastAsia="楷体" w:cs="楷体"/>
          <w:sz w:val="24"/>
          <w:szCs w:val="24"/>
        </w:rPr>
      </w:pPr>
    </w:p>
    <w:p>
      <w:pPr>
        <w:pStyle w:val="18"/>
        <w:tabs>
          <w:tab w:val="left" w:pos="1050"/>
        </w:tabs>
        <w:spacing w:line="36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rPr>
        <w:t>说明：</w:t>
      </w:r>
    </w:p>
    <w:p>
      <w:pPr>
        <w:pStyle w:val="17"/>
        <w:tabs>
          <w:tab w:val="left" w:pos="0"/>
        </w:tabs>
        <w:spacing w:line="360" w:lineRule="auto"/>
        <w:ind w:firstLine="480"/>
        <w:jc w:val="both"/>
        <w:rPr>
          <w:rFonts w:hint="eastAsia" w:ascii="楷体" w:hAnsi="楷体" w:eastAsia="楷体" w:cs="楷体"/>
          <w:sz w:val="24"/>
          <w:szCs w:val="24"/>
        </w:rPr>
      </w:pPr>
      <w:r>
        <w:rPr>
          <w:rFonts w:hint="eastAsia" w:ascii="楷体" w:hAnsi="楷体" w:eastAsia="楷体" w:cs="楷体"/>
          <w:sz w:val="24"/>
          <w:szCs w:val="24"/>
        </w:rPr>
        <w:t>1、填写投标人获得企业资质、荣誉、信用等级、认证证书以及个人资格证书。（或根据评分项对应内容的要求填写）</w:t>
      </w:r>
    </w:p>
    <w:p>
      <w:pPr>
        <w:pStyle w:val="17"/>
        <w:tabs>
          <w:tab w:val="left" w:pos="0"/>
        </w:tabs>
        <w:spacing w:line="360" w:lineRule="auto"/>
        <w:ind w:firstLine="480"/>
        <w:jc w:val="both"/>
        <w:rPr>
          <w:rFonts w:hint="eastAsia" w:ascii="楷体" w:hAnsi="楷体" w:eastAsia="楷体" w:cs="楷体"/>
          <w:sz w:val="24"/>
          <w:szCs w:val="24"/>
        </w:rPr>
      </w:pPr>
      <w:r>
        <w:rPr>
          <w:rFonts w:hint="eastAsia" w:ascii="楷体" w:hAnsi="楷体" w:eastAsia="楷体" w:cs="楷体"/>
          <w:sz w:val="24"/>
          <w:szCs w:val="24"/>
        </w:rPr>
        <w:t>2、请投标人严格按照要求提交相关证明材料，否则有可能影响评审结果。</w:t>
      </w: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p>
      <w:pPr>
        <w:rPr>
          <w:rFonts w:hint="eastAsia" w:ascii="楷体" w:hAnsi="楷体" w:eastAsia="楷体" w:cs="楷体"/>
          <w:color w:val="000000" w:themeColor="text1"/>
          <w:sz w:val="32"/>
          <w:szCs w:val="32"/>
          <w14:textFill>
            <w14:solidFill>
              <w14:schemeClr w14:val="tx1"/>
            </w14:solidFill>
          </w14:textFill>
        </w:rPr>
      </w:pPr>
    </w:p>
    <w:bookmarkEnd w:id="280"/>
    <w:bookmarkEnd w:id="281"/>
    <w:bookmarkEnd w:id="282"/>
    <w:bookmarkEnd w:id="283"/>
    <w:bookmarkEnd w:id="284"/>
    <w:bookmarkEnd w:id="285"/>
    <w:bookmarkEnd w:id="286"/>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bookmarkStart w:id="289" w:name="_Toc322033414"/>
      <w:bookmarkStart w:id="290" w:name="_Toc263670132"/>
      <w:bookmarkStart w:id="291" w:name="_Toc275440314"/>
      <w:bookmarkStart w:id="292" w:name="_Toc263670130"/>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center"/>
        <w:rPr>
          <w:rFonts w:hint="eastAsia" w:ascii="楷体" w:hAnsi="楷体" w:eastAsia="楷体" w:cs="楷体"/>
          <w:color w:val="000000" w:themeColor="text1"/>
          <w:sz w:val="24"/>
          <w14:textFill>
            <w14:solidFill>
              <w14:schemeClr w14:val="tx1"/>
            </w14:solidFill>
          </w14:textFill>
        </w:rPr>
      </w:pPr>
    </w:p>
    <w:p>
      <w:pPr>
        <w:adjustRightInd w:val="0"/>
        <w:spacing w:line="360" w:lineRule="auto"/>
        <w:jc w:val="left"/>
        <w:rPr>
          <w:rFonts w:hint="eastAsia" w:ascii="楷体" w:hAnsi="楷体" w:eastAsia="楷体" w:cs="楷体"/>
          <w:bCs/>
          <w:color w:val="000000" w:themeColor="text1"/>
          <w:sz w:val="30"/>
          <w:szCs w:val="30"/>
          <w14:textFill>
            <w14:solidFill>
              <w14:schemeClr w14:val="tx1"/>
            </w14:solidFill>
          </w14:textFill>
        </w:rPr>
      </w:pPr>
      <w:r>
        <w:rPr>
          <w:rFonts w:hint="eastAsia" w:ascii="楷体" w:hAnsi="楷体" w:eastAsia="楷体" w:cs="楷体"/>
          <w:bCs/>
          <w:color w:val="000000" w:themeColor="text1"/>
          <w:sz w:val="30"/>
          <w:szCs w:val="30"/>
          <w14:textFill>
            <w14:solidFill>
              <w14:schemeClr w14:val="tx1"/>
            </w14:solidFill>
          </w14:textFill>
        </w:rPr>
        <w:t>附件10、开标一览表</w:t>
      </w:r>
    </w:p>
    <w:p>
      <w:pPr>
        <w:pStyle w:val="40"/>
        <w:spacing w:line="360" w:lineRule="auto"/>
        <w:jc w:val="center"/>
        <w:rPr>
          <w:rFonts w:hint="eastAsia" w:ascii="楷体" w:hAnsi="楷体" w:eastAsia="楷体" w:cs="楷体"/>
          <w:b/>
        </w:rPr>
      </w:pPr>
    </w:p>
    <w:p>
      <w:pPr>
        <w:pStyle w:val="40"/>
        <w:spacing w:line="360" w:lineRule="auto"/>
        <w:jc w:val="center"/>
        <w:rPr>
          <w:rFonts w:hint="eastAsia" w:ascii="楷体" w:hAnsi="楷体" w:eastAsia="楷体" w:cs="楷体"/>
        </w:rPr>
      </w:pPr>
      <w:r>
        <w:rPr>
          <w:rFonts w:hint="eastAsia" w:ascii="楷体" w:hAnsi="楷体" w:eastAsia="楷体" w:cs="楷体"/>
          <w:b/>
        </w:rPr>
        <w:t>开标一览表</w:t>
      </w:r>
    </w:p>
    <w:p>
      <w:pPr>
        <w:pStyle w:val="40"/>
        <w:spacing w:line="360" w:lineRule="auto"/>
        <w:rPr>
          <w:rFonts w:hint="eastAsia" w:ascii="楷体" w:hAnsi="楷体" w:eastAsia="楷体" w:cs="楷体"/>
        </w:rPr>
      </w:pPr>
      <w:r>
        <w:rPr>
          <w:rFonts w:hint="eastAsia" w:ascii="楷体" w:hAnsi="楷体" w:eastAsia="楷体" w:cs="楷体"/>
          <w:bCs/>
        </w:rPr>
        <w:t>项目名称：</w:t>
      </w:r>
    </w:p>
    <w:p>
      <w:pPr>
        <w:pStyle w:val="40"/>
        <w:spacing w:line="360" w:lineRule="auto"/>
        <w:rPr>
          <w:rFonts w:hint="eastAsia" w:ascii="楷体" w:hAnsi="楷体" w:eastAsia="楷体" w:cs="楷体"/>
          <w:b/>
        </w:rPr>
      </w:pPr>
      <w:r>
        <w:rPr>
          <w:rFonts w:hint="eastAsia" w:ascii="楷体" w:hAnsi="楷体" w:eastAsia="楷体" w:cs="楷体"/>
        </w:rPr>
        <w:t>项目编号：</w:t>
      </w:r>
    </w:p>
    <w:tbl>
      <w:tblPr>
        <w:tblStyle w:val="14"/>
        <w:tblW w:w="4869" w:type="pct"/>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3"/>
        <w:gridCol w:w="2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230" w:type="pct"/>
            <w:vAlign w:val="center"/>
          </w:tcPr>
          <w:p>
            <w:pPr>
              <w:pStyle w:val="18"/>
              <w:spacing w:line="360" w:lineRule="auto"/>
              <w:jc w:val="center"/>
              <w:rPr>
                <w:rFonts w:hint="eastAsia" w:ascii="楷体" w:hAnsi="楷体" w:eastAsia="楷体" w:cs="楷体"/>
                <w:bCs/>
                <w:sz w:val="24"/>
                <w:szCs w:val="24"/>
              </w:rPr>
            </w:pPr>
            <w:r>
              <w:rPr>
                <w:rFonts w:hint="eastAsia" w:ascii="楷体" w:hAnsi="楷体" w:eastAsia="楷体" w:cs="楷体"/>
                <w:bCs/>
                <w:sz w:val="24"/>
                <w:szCs w:val="24"/>
              </w:rPr>
              <w:t>投标总报价</w:t>
            </w:r>
          </w:p>
        </w:tc>
        <w:tc>
          <w:tcPr>
            <w:tcW w:w="1769" w:type="pct"/>
            <w:vAlign w:val="center"/>
          </w:tcPr>
          <w:p>
            <w:pPr>
              <w:pStyle w:val="18"/>
              <w:spacing w:line="360" w:lineRule="auto"/>
              <w:jc w:val="center"/>
              <w:rPr>
                <w:rFonts w:hint="eastAsia" w:ascii="楷体" w:hAnsi="楷体" w:eastAsia="楷体" w:cs="楷体"/>
                <w:bCs/>
                <w:sz w:val="24"/>
                <w:szCs w:val="24"/>
              </w:rPr>
            </w:pPr>
            <w:r>
              <w:rPr>
                <w:rFonts w:hint="eastAsia" w:ascii="楷体" w:hAnsi="楷体" w:eastAsia="楷体" w:cs="楷体"/>
                <w:bCs/>
                <w:sz w:val="24"/>
                <w:szCs w:val="24"/>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3230" w:type="pct"/>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小写：¥</w:t>
            </w:r>
          </w:p>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大写：人民币     元</w:t>
            </w:r>
          </w:p>
        </w:tc>
        <w:tc>
          <w:tcPr>
            <w:tcW w:w="1769" w:type="pct"/>
            <w:vAlign w:val="center"/>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 xml:space="preserve"> </w:t>
            </w:r>
          </w:p>
        </w:tc>
      </w:tr>
      <w:bookmarkEnd w:id="287"/>
      <w:bookmarkEnd w:id="288"/>
      <w:bookmarkEnd w:id="289"/>
      <w:bookmarkEnd w:id="290"/>
      <w:bookmarkEnd w:id="291"/>
      <w:bookmarkEnd w:id="292"/>
    </w:tbl>
    <w:p>
      <w:pPr>
        <w:pStyle w:val="40"/>
        <w:spacing w:line="360" w:lineRule="auto"/>
        <w:rPr>
          <w:rFonts w:hint="eastAsia" w:ascii="楷体" w:hAnsi="楷体" w:eastAsia="楷体" w:cs="楷体"/>
        </w:rPr>
      </w:pPr>
      <w:bookmarkStart w:id="293" w:name="_Toc521081308"/>
      <w:bookmarkStart w:id="294" w:name="_Toc400960201"/>
      <w:bookmarkStart w:id="295" w:name="_Toc32242"/>
      <w:bookmarkStart w:id="296" w:name="_Toc445120976"/>
      <w:bookmarkStart w:id="297" w:name="_Toc397676807"/>
      <w:bookmarkStart w:id="298" w:name="_Toc322033416"/>
    </w:p>
    <w:p>
      <w:pPr>
        <w:adjustRightInd w:val="0"/>
        <w:snapToGrid w:val="0"/>
        <w:spacing w:line="360" w:lineRule="auto"/>
        <w:rPr>
          <w:rFonts w:hint="eastAsia" w:ascii="楷体" w:hAnsi="楷体" w:eastAsia="楷体" w:cs="楷体"/>
          <w:color w:val="000000" w:themeColor="text1"/>
          <w:szCs w:val="21"/>
          <w14:textFill>
            <w14:solidFill>
              <w14:schemeClr w14:val="tx1"/>
            </w14:solidFill>
          </w14:textFill>
        </w:rPr>
      </w:pPr>
    </w:p>
    <w:p>
      <w:pPr>
        <w:adjustRightInd w:val="0"/>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 xml:space="preserve">投标人名称（公章）：                  </w:t>
      </w:r>
    </w:p>
    <w:p>
      <w:pPr>
        <w:adjustRightInd w:val="0"/>
        <w:spacing w:line="360" w:lineRule="auto"/>
        <w:rPr>
          <w:rFonts w:hint="eastAsia" w:ascii="楷体" w:hAnsi="楷体" w:eastAsia="楷体" w:cs="楷体"/>
          <w:color w:val="000000" w:themeColor="text1"/>
          <w:sz w:val="24"/>
          <w:u w:val="single"/>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法定代表人或授权代表（签名）：</w:t>
      </w:r>
    </w:p>
    <w:p>
      <w:pPr>
        <w:pStyle w:val="40"/>
        <w:spacing w:line="360" w:lineRule="auto"/>
        <w:rPr>
          <w:rFonts w:hint="eastAsia" w:ascii="楷体" w:hAnsi="楷体" w:eastAsia="楷体" w:cs="楷体"/>
        </w:rPr>
      </w:pPr>
      <w:r>
        <w:rPr>
          <w:rFonts w:hint="eastAsia" w:ascii="楷体" w:hAnsi="楷体" w:eastAsia="楷体" w:cs="楷体"/>
        </w:rPr>
        <w:t>日期：   年   月   日</w:t>
      </w:r>
    </w:p>
    <w:p>
      <w:pPr>
        <w:spacing w:line="360" w:lineRule="auto"/>
        <w:rPr>
          <w:rFonts w:hint="eastAsia" w:ascii="楷体" w:hAnsi="楷体" w:eastAsia="楷体" w:cs="楷体"/>
          <w:b/>
          <w:bCs/>
          <w:color w:val="000000" w:themeColor="text1"/>
          <w:szCs w:val="21"/>
          <w14:textFill>
            <w14:solidFill>
              <w14:schemeClr w14:val="tx1"/>
            </w14:solidFill>
          </w14:textFill>
        </w:rPr>
      </w:pPr>
    </w:p>
    <w:p>
      <w:pPr>
        <w:tabs>
          <w:tab w:val="left" w:pos="803"/>
        </w:tabs>
        <w:spacing w:line="360" w:lineRule="auto"/>
        <w:rPr>
          <w:rFonts w:hint="eastAsia" w:ascii="楷体" w:hAnsi="楷体" w:eastAsia="楷体" w:cs="楷体"/>
          <w:b/>
          <w:bCs/>
          <w:color w:val="000000" w:themeColor="text1"/>
          <w:szCs w:val="21"/>
          <w14:textFill>
            <w14:solidFill>
              <w14:schemeClr w14:val="tx1"/>
            </w14:solidFill>
          </w14:textFill>
        </w:rPr>
      </w:pPr>
      <w:r>
        <w:rPr>
          <w:rFonts w:hint="eastAsia" w:ascii="楷体" w:hAnsi="楷体" w:eastAsia="楷体" w:cs="楷体"/>
          <w:b/>
          <w:bCs/>
          <w:color w:val="000000" w:themeColor="text1"/>
          <w:szCs w:val="21"/>
          <w14:textFill>
            <w14:solidFill>
              <w14:schemeClr w14:val="tx1"/>
            </w14:solidFill>
          </w14:textFill>
        </w:rPr>
        <w:tab/>
      </w:r>
    </w:p>
    <w:p>
      <w:pPr>
        <w:tabs>
          <w:tab w:val="left" w:pos="803"/>
        </w:tabs>
        <w:spacing w:line="360" w:lineRule="auto"/>
        <w:rPr>
          <w:rFonts w:hint="eastAsia" w:ascii="楷体" w:hAnsi="楷体" w:eastAsia="楷体" w:cs="楷体"/>
          <w:b/>
          <w:bCs/>
          <w:color w:val="000000" w:themeColor="text1"/>
          <w:szCs w:val="21"/>
          <w14:textFill>
            <w14:solidFill>
              <w14:schemeClr w14:val="tx1"/>
            </w14:solidFill>
          </w14:textFill>
        </w:rPr>
      </w:pPr>
    </w:p>
    <w:p>
      <w:pPr>
        <w:adjustRightInd w:val="0"/>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 xml:space="preserve">    说明：</w:t>
      </w:r>
    </w:p>
    <w:p>
      <w:pPr>
        <w:adjustRightInd w:val="0"/>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1、</w:t>
      </w:r>
      <w:r>
        <w:rPr>
          <w:rFonts w:hint="eastAsia" w:ascii="楷体" w:hAnsi="楷体" w:eastAsia="楷体" w:cs="楷体"/>
          <w:bCs/>
          <w:sz w:val="24"/>
        </w:rPr>
        <w:t>投标总报价</w:t>
      </w:r>
      <w:r>
        <w:rPr>
          <w:rFonts w:hint="eastAsia" w:ascii="楷体" w:hAnsi="楷体" w:eastAsia="楷体" w:cs="楷体"/>
          <w:color w:val="000000" w:themeColor="text1"/>
          <w:sz w:val="24"/>
          <w14:textFill>
            <w14:solidFill>
              <w14:schemeClr w14:val="tx1"/>
            </w14:solidFill>
          </w14:textFill>
        </w:rPr>
        <w:t>保留小数点后两位</w:t>
      </w:r>
      <w:r>
        <w:rPr>
          <w:rFonts w:hint="eastAsia" w:ascii="楷体" w:hAnsi="楷体" w:eastAsia="楷体" w:cs="楷体"/>
          <w:bCs/>
          <w:sz w:val="24"/>
        </w:rPr>
        <w:t>。</w:t>
      </w:r>
    </w:p>
    <w:p>
      <w:pPr>
        <w:adjustRightInd w:val="0"/>
        <w:spacing w:line="360" w:lineRule="auto"/>
        <w:ind w:firstLine="480" w:firstLineChars="200"/>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2、此表为投标文件的组成部分，须附在正、副本的投标文件中，并另单独封装一份于开标信封中。</w:t>
      </w:r>
    </w:p>
    <w:p>
      <w:pPr>
        <w:adjustRightInd w:val="0"/>
        <w:spacing w:line="360" w:lineRule="auto"/>
        <w:ind w:firstLine="480" w:firstLineChars="200"/>
        <w:rPr>
          <w:rFonts w:hint="eastAsia" w:ascii="楷体" w:hAnsi="楷体" w:eastAsia="楷体" w:cs="楷体"/>
          <w:bCs/>
          <w:color w:val="000000" w:themeColor="text1"/>
          <w:szCs w:val="21"/>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3、此表内投标总报价为最终价，开标信封及投标文件内不得含有任何对本报价进行修改的其他说明或资料，否则为无效投标。</w:t>
      </w: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Cs/>
          <w:color w:val="000000" w:themeColor="text1"/>
          <w:sz w:val="30"/>
          <w:szCs w:val="30"/>
          <w14:textFill>
            <w14:solidFill>
              <w14:schemeClr w14:val="tx1"/>
            </w14:solidFill>
          </w14:textFill>
        </w:rPr>
        <w:t>附件11、报价明细表</w:t>
      </w: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p>
    <w:p>
      <w:pPr>
        <w:pStyle w:val="40"/>
        <w:spacing w:line="360" w:lineRule="auto"/>
        <w:jc w:val="center"/>
        <w:rPr>
          <w:rFonts w:hint="eastAsia" w:ascii="楷体" w:hAnsi="楷体" w:eastAsia="楷体" w:cs="楷体"/>
        </w:rPr>
      </w:pPr>
      <w:r>
        <w:rPr>
          <w:rFonts w:hint="eastAsia" w:ascii="楷体" w:hAnsi="楷体" w:eastAsia="楷体" w:cs="楷体"/>
          <w:b/>
        </w:rPr>
        <w:t>报价明细表</w:t>
      </w:r>
    </w:p>
    <w:p>
      <w:pPr>
        <w:pStyle w:val="40"/>
        <w:spacing w:line="360" w:lineRule="auto"/>
        <w:rPr>
          <w:rFonts w:hint="eastAsia" w:ascii="楷体" w:hAnsi="楷体" w:eastAsia="楷体" w:cs="楷体"/>
        </w:rPr>
      </w:pPr>
      <w:r>
        <w:rPr>
          <w:rFonts w:hint="eastAsia" w:ascii="楷体" w:hAnsi="楷体" w:eastAsia="楷体" w:cs="楷体"/>
          <w:bCs/>
        </w:rPr>
        <w:t>项目名称：</w:t>
      </w:r>
    </w:p>
    <w:p>
      <w:pPr>
        <w:pStyle w:val="40"/>
        <w:spacing w:line="360" w:lineRule="auto"/>
        <w:rPr>
          <w:rFonts w:hint="eastAsia" w:ascii="楷体" w:hAnsi="楷体" w:eastAsia="楷体" w:cs="楷体"/>
        </w:rPr>
      </w:pPr>
      <w:r>
        <w:rPr>
          <w:rFonts w:hint="eastAsia" w:ascii="楷体" w:hAnsi="楷体" w:eastAsia="楷体" w:cs="楷体"/>
        </w:rPr>
        <w:t>项目编号：</w:t>
      </w:r>
    </w:p>
    <w:tbl>
      <w:tblPr>
        <w:tblStyle w:val="14"/>
        <w:tblpPr w:leftFromText="180" w:rightFromText="180" w:vertAnchor="text" w:horzAnchor="page" w:tblpX="2004" w:tblpY="460"/>
        <w:tblOverlap w:val="never"/>
        <w:tblW w:w="82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44" w:type="dxa"/>
          <w:bottom w:w="0" w:type="dxa"/>
          <w:right w:w="46" w:type="dxa"/>
        </w:tblCellMar>
      </w:tblPr>
      <w:tblGrid>
        <w:gridCol w:w="2244"/>
        <w:gridCol w:w="819"/>
        <w:gridCol w:w="2590"/>
        <w:gridCol w:w="2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4" w:type="dxa"/>
            <w:bottom w:w="0" w:type="dxa"/>
            <w:right w:w="46" w:type="dxa"/>
          </w:tblCellMar>
        </w:tblPrEx>
        <w:trPr>
          <w:trHeight w:val="487" w:hRule="atLeast"/>
        </w:trPr>
        <w:tc>
          <w:tcPr>
            <w:tcW w:w="2244" w:type="dxa"/>
            <w:vAlign w:val="center"/>
          </w:tcPr>
          <w:p>
            <w:pPr>
              <w:ind w:right="101"/>
              <w:jc w:val="center"/>
              <w:rPr>
                <w:rFonts w:hint="eastAsia" w:ascii="楷体" w:hAnsi="楷体" w:eastAsia="楷体" w:cs="楷体"/>
                <w:color w:val="000000"/>
                <w:sz w:val="24"/>
              </w:rPr>
            </w:pPr>
            <w:r>
              <w:rPr>
                <w:rFonts w:hint="eastAsia" w:ascii="楷体" w:hAnsi="楷体" w:eastAsia="楷体" w:cs="楷体"/>
                <w:color w:val="000000"/>
                <w:sz w:val="24"/>
              </w:rPr>
              <w:t xml:space="preserve">项目内容 </w:t>
            </w:r>
          </w:p>
        </w:tc>
        <w:tc>
          <w:tcPr>
            <w:tcW w:w="819" w:type="dxa"/>
            <w:vAlign w:val="center"/>
          </w:tcPr>
          <w:p>
            <w:pPr>
              <w:ind w:right="98"/>
              <w:jc w:val="center"/>
              <w:rPr>
                <w:rFonts w:hint="eastAsia" w:ascii="楷体" w:hAnsi="楷体" w:eastAsia="楷体" w:cs="楷体"/>
                <w:color w:val="000000"/>
                <w:sz w:val="24"/>
              </w:rPr>
            </w:pPr>
            <w:r>
              <w:rPr>
                <w:rFonts w:hint="eastAsia" w:ascii="楷体" w:hAnsi="楷体" w:eastAsia="楷体" w:cs="楷体"/>
                <w:color w:val="000000"/>
                <w:sz w:val="24"/>
              </w:rPr>
              <w:t>数量</w:t>
            </w:r>
          </w:p>
        </w:tc>
        <w:tc>
          <w:tcPr>
            <w:tcW w:w="2590" w:type="dxa"/>
            <w:vAlign w:val="center"/>
          </w:tcPr>
          <w:p>
            <w:pPr>
              <w:ind w:right="96"/>
              <w:jc w:val="center"/>
              <w:rPr>
                <w:rFonts w:hint="eastAsia" w:ascii="楷体" w:hAnsi="楷体" w:eastAsia="楷体" w:cs="楷体"/>
                <w:color w:val="000000"/>
                <w:sz w:val="24"/>
              </w:rPr>
            </w:pPr>
            <w:r>
              <w:rPr>
                <w:rFonts w:hint="eastAsia" w:ascii="楷体" w:hAnsi="楷体" w:eastAsia="楷体" w:cs="楷体"/>
                <w:color w:val="000000"/>
                <w:sz w:val="24"/>
              </w:rPr>
              <w:t xml:space="preserve">单价（/台） </w:t>
            </w:r>
          </w:p>
        </w:tc>
        <w:tc>
          <w:tcPr>
            <w:tcW w:w="2591" w:type="dxa"/>
            <w:vAlign w:val="center"/>
          </w:tcPr>
          <w:p>
            <w:pPr>
              <w:ind w:right="96"/>
              <w:jc w:val="center"/>
              <w:rPr>
                <w:rFonts w:hint="eastAsia" w:ascii="楷体" w:hAnsi="楷体" w:eastAsia="楷体" w:cs="楷体"/>
                <w:color w:val="000000"/>
                <w:sz w:val="24"/>
              </w:rPr>
            </w:pPr>
            <w:r>
              <w:rPr>
                <w:rFonts w:hint="eastAsia" w:ascii="楷体" w:hAnsi="楷体" w:eastAsia="楷体" w:cs="楷体"/>
                <w:color w:val="000000"/>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4" w:type="dxa"/>
            <w:bottom w:w="0" w:type="dxa"/>
            <w:right w:w="46" w:type="dxa"/>
          </w:tblCellMar>
        </w:tblPrEx>
        <w:trPr>
          <w:trHeight w:val="958" w:hRule="atLeast"/>
        </w:trPr>
        <w:tc>
          <w:tcPr>
            <w:tcW w:w="2244" w:type="dxa"/>
            <w:vAlign w:val="center"/>
          </w:tcPr>
          <w:p>
            <w:pPr>
              <w:ind w:right="101"/>
              <w:jc w:val="center"/>
              <w:rPr>
                <w:rFonts w:hint="eastAsia" w:ascii="楷体" w:hAnsi="楷体" w:eastAsia="楷体" w:cs="楷体"/>
                <w:color w:val="000000"/>
                <w:sz w:val="24"/>
              </w:rPr>
            </w:pPr>
            <w:r>
              <w:rPr>
                <w:rFonts w:hint="eastAsia" w:ascii="楷体" w:hAnsi="楷体" w:eastAsia="楷体" w:cs="楷体"/>
                <w:sz w:val="24"/>
              </w:rPr>
              <w:t xml:space="preserve"> </w:t>
            </w:r>
          </w:p>
        </w:tc>
        <w:tc>
          <w:tcPr>
            <w:tcW w:w="819" w:type="dxa"/>
            <w:vAlign w:val="center"/>
          </w:tcPr>
          <w:p>
            <w:pPr>
              <w:jc w:val="center"/>
              <w:rPr>
                <w:rFonts w:hint="eastAsia" w:ascii="楷体" w:hAnsi="楷体" w:eastAsia="楷体" w:cs="楷体"/>
                <w:color w:val="000000"/>
                <w:sz w:val="24"/>
              </w:rPr>
            </w:pPr>
            <w:r>
              <w:rPr>
                <w:rFonts w:hint="eastAsia" w:ascii="楷体" w:hAnsi="楷体" w:eastAsia="楷体" w:cs="楷体"/>
                <w:color w:val="000000"/>
                <w:sz w:val="24"/>
              </w:rPr>
              <w:t>2台</w:t>
            </w:r>
          </w:p>
        </w:tc>
        <w:tc>
          <w:tcPr>
            <w:tcW w:w="2590" w:type="dxa"/>
            <w:vAlign w:val="center"/>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小写：¥</w:t>
            </w:r>
          </w:p>
          <w:p>
            <w:pPr>
              <w:jc w:val="center"/>
              <w:rPr>
                <w:rFonts w:hint="eastAsia" w:ascii="楷体" w:hAnsi="楷体" w:eastAsia="楷体" w:cs="楷体"/>
                <w:color w:val="000000"/>
                <w:sz w:val="24"/>
              </w:rPr>
            </w:pPr>
            <w:r>
              <w:rPr>
                <w:rFonts w:hint="eastAsia" w:ascii="楷体" w:hAnsi="楷体" w:eastAsia="楷体" w:cs="楷体"/>
                <w:sz w:val="24"/>
              </w:rPr>
              <w:t>大写：人民币     元</w:t>
            </w:r>
          </w:p>
        </w:tc>
        <w:tc>
          <w:tcPr>
            <w:tcW w:w="2591" w:type="dxa"/>
            <w:vAlign w:val="center"/>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小写：¥</w:t>
            </w:r>
          </w:p>
          <w:p>
            <w:pPr>
              <w:jc w:val="center"/>
              <w:rPr>
                <w:rFonts w:hint="eastAsia" w:ascii="楷体" w:hAnsi="楷体" w:eastAsia="楷体" w:cs="楷体"/>
                <w:sz w:val="24"/>
              </w:rPr>
            </w:pPr>
            <w:r>
              <w:rPr>
                <w:rFonts w:hint="eastAsia" w:ascii="楷体" w:hAnsi="楷体" w:eastAsia="楷体" w:cs="楷体"/>
                <w:sz w:val="24"/>
              </w:rPr>
              <w:t>大写：人民币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4" w:type="dxa"/>
            <w:bottom w:w="0" w:type="dxa"/>
            <w:right w:w="46" w:type="dxa"/>
          </w:tblCellMar>
        </w:tblPrEx>
        <w:trPr>
          <w:trHeight w:val="958" w:hRule="atLeast"/>
        </w:trPr>
        <w:tc>
          <w:tcPr>
            <w:tcW w:w="2244" w:type="dxa"/>
            <w:vAlign w:val="center"/>
          </w:tcPr>
          <w:p>
            <w:pPr>
              <w:ind w:right="101"/>
              <w:jc w:val="center"/>
              <w:rPr>
                <w:rFonts w:hint="eastAsia" w:ascii="楷体" w:hAnsi="楷体" w:eastAsia="楷体" w:cs="楷体"/>
                <w:sz w:val="24"/>
              </w:rPr>
            </w:pPr>
            <w:r>
              <w:rPr>
                <w:rFonts w:hint="eastAsia" w:ascii="楷体" w:hAnsi="楷体" w:eastAsia="楷体" w:cs="楷体"/>
                <w:sz w:val="24"/>
              </w:rPr>
              <w:t>总计</w:t>
            </w:r>
          </w:p>
        </w:tc>
        <w:tc>
          <w:tcPr>
            <w:tcW w:w="6000" w:type="dxa"/>
            <w:gridSpan w:val="3"/>
            <w:vAlign w:val="center"/>
          </w:tcPr>
          <w:p>
            <w:pPr>
              <w:pStyle w:val="18"/>
              <w:spacing w:line="360" w:lineRule="auto"/>
              <w:jc w:val="center"/>
              <w:rPr>
                <w:rFonts w:hint="eastAsia" w:ascii="楷体" w:hAnsi="楷体" w:eastAsia="楷体" w:cs="楷体"/>
                <w:sz w:val="24"/>
                <w:szCs w:val="24"/>
              </w:rPr>
            </w:pPr>
            <w:r>
              <w:rPr>
                <w:rFonts w:hint="eastAsia" w:ascii="楷体" w:hAnsi="楷体" w:eastAsia="楷体" w:cs="楷体"/>
                <w:sz w:val="24"/>
                <w:szCs w:val="24"/>
              </w:rPr>
              <w:t>小写：¥</w:t>
            </w:r>
          </w:p>
          <w:p>
            <w:pPr>
              <w:jc w:val="center"/>
              <w:rPr>
                <w:rFonts w:hint="eastAsia" w:ascii="楷体" w:hAnsi="楷体" w:eastAsia="楷体" w:cs="楷体"/>
                <w:sz w:val="24"/>
              </w:rPr>
            </w:pPr>
            <w:r>
              <w:rPr>
                <w:rFonts w:hint="eastAsia" w:ascii="楷体" w:hAnsi="楷体" w:eastAsia="楷体" w:cs="楷体"/>
                <w:sz w:val="24"/>
              </w:rPr>
              <w:t>大写：人民币     元</w:t>
            </w:r>
          </w:p>
        </w:tc>
      </w:tr>
    </w:tbl>
    <w:p>
      <w:pPr>
        <w:adjustRightInd w:val="0"/>
        <w:snapToGrid w:val="0"/>
        <w:spacing w:line="360" w:lineRule="auto"/>
        <w:rPr>
          <w:rFonts w:hint="eastAsia" w:ascii="楷体" w:hAnsi="楷体" w:eastAsia="楷体" w:cs="楷体"/>
          <w:color w:val="000000" w:themeColor="text1"/>
          <w:szCs w:val="21"/>
          <w14:textFill>
            <w14:solidFill>
              <w14:schemeClr w14:val="tx1"/>
            </w14:solidFill>
          </w14:textFill>
        </w:rPr>
      </w:pPr>
    </w:p>
    <w:p>
      <w:pPr>
        <w:adjustRightInd w:val="0"/>
        <w:spacing w:line="360" w:lineRule="auto"/>
        <w:rPr>
          <w:rFonts w:hint="eastAsia" w:ascii="楷体" w:hAnsi="楷体" w:eastAsia="楷体" w:cs="楷体"/>
          <w:color w:val="000000" w:themeColor="text1"/>
          <w:sz w:val="24"/>
          <w14:textFill>
            <w14:solidFill>
              <w14:schemeClr w14:val="tx1"/>
            </w14:solidFill>
          </w14:textFill>
        </w:rPr>
      </w:pPr>
    </w:p>
    <w:p>
      <w:pPr>
        <w:adjustRightInd w:val="0"/>
        <w:spacing w:line="360" w:lineRule="auto"/>
        <w:rPr>
          <w:rFonts w:hint="eastAsia" w:ascii="楷体" w:hAnsi="楷体" w:eastAsia="楷体" w:cs="楷体"/>
          <w:color w:val="000000" w:themeColor="text1"/>
          <w:sz w:val="24"/>
          <w14:textFill>
            <w14:solidFill>
              <w14:schemeClr w14:val="tx1"/>
            </w14:solidFill>
          </w14:textFill>
        </w:rPr>
      </w:pPr>
    </w:p>
    <w:p>
      <w:pPr>
        <w:adjustRightInd w:val="0"/>
        <w:spacing w:line="360" w:lineRule="auto"/>
        <w:rPr>
          <w:rFonts w:hint="eastAsia" w:ascii="楷体" w:hAnsi="楷体" w:eastAsia="楷体" w:cs="楷体"/>
          <w:color w:val="000000" w:themeColor="text1"/>
          <w:sz w:val="24"/>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 xml:space="preserve">投标人名称（公章）：                  </w:t>
      </w:r>
    </w:p>
    <w:p>
      <w:pPr>
        <w:adjustRightInd w:val="0"/>
        <w:spacing w:line="360" w:lineRule="auto"/>
        <w:rPr>
          <w:rFonts w:hint="eastAsia" w:ascii="楷体" w:hAnsi="楷体" w:eastAsia="楷体" w:cs="楷体"/>
          <w:color w:val="000000" w:themeColor="text1"/>
          <w:sz w:val="24"/>
          <w:u w:val="single"/>
          <w14:textFill>
            <w14:solidFill>
              <w14:schemeClr w14:val="tx1"/>
            </w14:solidFill>
          </w14:textFill>
        </w:rPr>
      </w:pPr>
      <w:r>
        <w:rPr>
          <w:rFonts w:hint="eastAsia" w:ascii="楷体" w:hAnsi="楷体" w:eastAsia="楷体" w:cs="楷体"/>
          <w:color w:val="000000" w:themeColor="text1"/>
          <w:sz w:val="24"/>
          <w14:textFill>
            <w14:solidFill>
              <w14:schemeClr w14:val="tx1"/>
            </w14:solidFill>
          </w14:textFill>
        </w:rPr>
        <w:t>法定代表人或授权代表（签名）：</w:t>
      </w:r>
    </w:p>
    <w:p>
      <w:pPr>
        <w:pStyle w:val="40"/>
        <w:spacing w:line="360" w:lineRule="auto"/>
        <w:rPr>
          <w:rFonts w:hint="eastAsia" w:ascii="楷体" w:hAnsi="楷体" w:eastAsia="楷体" w:cs="楷体"/>
        </w:rPr>
      </w:pPr>
      <w:r>
        <w:rPr>
          <w:rFonts w:hint="eastAsia" w:ascii="楷体" w:hAnsi="楷体" w:eastAsia="楷体" w:cs="楷体"/>
        </w:rPr>
        <w:t>日期：   年   月   日</w:t>
      </w:r>
    </w:p>
    <w:p>
      <w:pPr>
        <w:adjustRightInd w:val="0"/>
        <w:spacing w:line="360" w:lineRule="auto"/>
        <w:jc w:val="left"/>
        <w:rPr>
          <w:rFonts w:hint="eastAsia" w:ascii="楷体" w:hAnsi="楷体" w:eastAsia="楷体" w:cs="楷体"/>
          <w:b/>
          <w:color w:val="000000" w:themeColor="text1"/>
          <w:sz w:val="32"/>
          <w:szCs w:val="32"/>
          <w14:textFill>
            <w14:solidFill>
              <w14:schemeClr w14:val="tx1"/>
            </w14:solidFill>
          </w14:textFill>
        </w:rPr>
      </w:pPr>
    </w:p>
    <w:bookmarkEnd w:id="293"/>
    <w:bookmarkEnd w:id="294"/>
    <w:bookmarkEnd w:id="295"/>
    <w:bookmarkEnd w:id="296"/>
    <w:bookmarkEnd w:id="297"/>
    <w:bookmarkEnd w:id="298"/>
    <w:p>
      <w:pPr>
        <w:snapToGrid w:val="0"/>
        <w:spacing w:line="360" w:lineRule="auto"/>
        <w:ind w:right="-237" w:rightChars="-113"/>
        <w:rPr>
          <w:rFonts w:hint="eastAsia" w:ascii="楷体" w:hAnsi="楷体" w:eastAsia="楷体" w:cs="楷体"/>
        </w:rPr>
      </w:pPr>
    </w:p>
    <w:p>
      <w:pPr>
        <w:adjustRightInd w:val="0"/>
        <w:spacing w:line="360" w:lineRule="auto"/>
        <w:ind w:firstLine="480" w:firstLineChars="200"/>
        <w:rPr>
          <w:rFonts w:hint="eastAsia" w:ascii="楷体" w:hAnsi="楷体" w:eastAsia="楷体" w:cs="楷体"/>
        </w:rPr>
      </w:pPr>
      <w:r>
        <w:rPr>
          <w:rFonts w:hint="eastAsia" w:ascii="楷体" w:hAnsi="楷体" w:eastAsia="楷体" w:cs="楷体"/>
          <w:color w:val="000000" w:themeColor="text1"/>
          <w:sz w:val="24"/>
          <w14:textFill>
            <w14:solidFill>
              <w14:schemeClr w14:val="tx1"/>
            </w14:solidFill>
          </w14:textFill>
        </w:rPr>
        <w:t>说明：表中的单价、合计、总计</w:t>
      </w:r>
      <w:r>
        <w:rPr>
          <w:rFonts w:hint="eastAsia" w:ascii="楷体" w:hAnsi="楷体" w:eastAsia="楷体" w:cs="楷体"/>
          <w:bCs/>
          <w:sz w:val="24"/>
        </w:rPr>
        <w:t>均</w:t>
      </w:r>
      <w:r>
        <w:rPr>
          <w:rFonts w:hint="eastAsia" w:ascii="楷体" w:hAnsi="楷体" w:eastAsia="楷体" w:cs="楷体"/>
          <w:color w:val="000000" w:themeColor="text1"/>
          <w:sz w:val="24"/>
          <w14:textFill>
            <w14:solidFill>
              <w14:schemeClr w14:val="tx1"/>
            </w14:solidFill>
          </w14:textFill>
        </w:rPr>
        <w:t>保留小数点后两位</w:t>
      </w:r>
      <w:r>
        <w:rPr>
          <w:rFonts w:hint="eastAsia" w:ascii="楷体" w:hAnsi="楷体" w:eastAsia="楷体" w:cs="楷体"/>
          <w:bCs/>
          <w:sz w:val="24"/>
        </w:rPr>
        <w:t>。</w:t>
      </w:r>
    </w:p>
    <w:sectPr>
      <w:headerReference r:id="rId5" w:type="first"/>
      <w:footerReference r:id="rId7" w:type="first"/>
      <w:headerReference r:id="rId4"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w:panose1 w:val="02010601000101010101"/>
    <w:charset w:val="88"/>
    <w:family w:val="auto"/>
    <w:pitch w:val="default"/>
    <w:sig w:usb0="00000000" w:usb1="00000000" w:usb2="00000010" w:usb3="00000000" w:csb0="00100000" w:csb1="00000000"/>
  </w:font>
  <w:font w:name="楷体_GB2312">
    <w:altName w:val="楷体"/>
    <w:panose1 w:val="00000000000000000000"/>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roman"/>
    <w:pitch w:val="default"/>
    <w:sig w:usb0="F7FFAEFF" w:usb1="F9DFFFFF" w:usb2="0000007F" w:usb3="00000000" w:csb0="203F01FF" w:csb1="DFFF0000"/>
  </w:font>
  <w:font w:name="Times Roman">
    <w:altName w:val="Times New Roman"/>
    <w:panose1 w:val="00000000000000000000"/>
    <w:charset w:val="00"/>
    <w:family w:val="roman"/>
    <w:pitch w:val="default"/>
    <w:sig w:usb0="00000000" w:usb1="00000000" w:usb2="00000000" w:usb3="00000000" w:csb0="00000000"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pPr>
    <w:r>
      <w:rPr>
        <w:rFonts w:hint="eastAsia"/>
      </w:rPr>
      <w:t xml:space="preserve">广东华建兴工程管理有限公司                                           项目采购招标文件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pPr>
    <w:r>
      <w:rPr>
        <w:rFonts w:hint="eastAsia"/>
      </w:rPr>
      <w:t>广州市华建兴建设监理顾问有限公司                                            项目采购招标文件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A5D0E"/>
    <w:multiLevelType w:val="multilevel"/>
    <w:tmpl w:val="0FDA5D0E"/>
    <w:lvl w:ilvl="0" w:tentative="0">
      <w:start w:val="1"/>
      <w:numFmt w:val="chineseCounting"/>
      <w:lvlText w:val="%1."/>
      <w:lvlJc w:val="left"/>
      <w:pPr>
        <w:tabs>
          <w:tab w:val="left" w:pos="905"/>
        </w:tabs>
        <w:ind w:left="480" w:hanging="55"/>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chineseCounting"/>
      <w:lvlText w:val="%2."/>
      <w:lvlJc w:val="left"/>
      <w:pPr>
        <w:tabs>
          <w:tab w:val="left" w:pos="840"/>
        </w:tabs>
        <w:ind w:left="415" w:firstLine="10"/>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entative="0">
      <w:start w:val="1"/>
      <w:numFmt w:val="decimal"/>
      <w:lvlText w:val="%3."/>
      <w:lvlJc w:val="left"/>
      <w:pPr>
        <w:tabs>
          <w:tab w:val="left" w:pos="851"/>
        </w:tabs>
        <w:ind w:left="426" w:firstLine="16"/>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840"/>
          <w:tab w:val="left" w:pos="1417"/>
        </w:tabs>
        <w:ind w:left="992" w:firstLine="21"/>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decimal"/>
      <w:suff w:val="nothing"/>
      <w:lvlText w:val="(%4)%5."/>
      <w:lvlJc w:val="left"/>
      <w:pPr>
        <w:tabs>
          <w:tab w:val="left" w:pos="840"/>
        </w:tabs>
        <w:ind w:left="1559" w:firstLine="305"/>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decimal"/>
      <w:suff w:val="nothing"/>
      <w:lvlText w:val="(%4)%5.%6."/>
      <w:lvlJc w:val="left"/>
      <w:pPr>
        <w:tabs>
          <w:tab w:val="left" w:pos="840"/>
        </w:tabs>
        <w:ind w:left="2268" w:firstLine="305"/>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decimal"/>
      <w:suff w:val="nothing"/>
      <w:lvlText w:val="(%4)%5.%6.%7."/>
      <w:lvlJc w:val="left"/>
      <w:pPr>
        <w:tabs>
          <w:tab w:val="left" w:pos="840"/>
        </w:tabs>
        <w:ind w:left="2835" w:firstLine="305"/>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decimal"/>
      <w:suff w:val="nothing"/>
      <w:lvlText w:val="(%4)%5.%6.%7.%8."/>
      <w:lvlJc w:val="left"/>
      <w:pPr>
        <w:tabs>
          <w:tab w:val="left" w:pos="840"/>
        </w:tabs>
        <w:ind w:left="3360" w:firstLine="305"/>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decimal"/>
      <w:suff w:val="nothing"/>
      <w:lvlText w:val="(%4)%5.%6.%7.%8.%9."/>
      <w:lvlJc w:val="left"/>
      <w:pPr>
        <w:tabs>
          <w:tab w:val="left" w:pos="840"/>
        </w:tabs>
        <w:ind w:left="3780" w:firstLine="305"/>
      </w:pPr>
      <w:rPr>
        <w:rFonts w:ascii="Times Roman" w:hAnsi="Times Roman" w:eastAsia="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488C62E5"/>
    <w:multiLevelType w:val="multilevel"/>
    <w:tmpl w:val="488C62E5"/>
    <w:lvl w:ilvl="0" w:tentative="0">
      <w:start w:val="1"/>
      <w:numFmt w:val="chineseCounting"/>
      <w:lvlText w:val="%1."/>
      <w:lvlJc w:val="left"/>
      <w:pPr>
        <w:tabs>
          <w:tab w:val="left" w:pos="480"/>
          <w:tab w:val="left" w:pos="1260"/>
        </w:tabs>
        <w:ind w:left="638" w:hanging="638"/>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chineseCounting"/>
      <w:lvlText w:val="%2."/>
      <w:lvlJc w:val="left"/>
      <w:pPr>
        <w:tabs>
          <w:tab w:val="left" w:pos="899"/>
          <w:tab w:val="left" w:pos="1260"/>
        </w:tabs>
        <w:ind w:left="1057" w:hanging="632"/>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lvlText w:val="%3."/>
      <w:lvlJc w:val="left"/>
      <w:pPr>
        <w:tabs>
          <w:tab w:val="left" w:pos="1260"/>
        </w:tabs>
        <w:ind w:left="1418" w:hanging="56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1260"/>
          <w:tab w:val="left" w:pos="1680"/>
        </w:tabs>
        <w:ind w:left="1838" w:hanging="562"/>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decimal"/>
      <w:suff w:val="nothing"/>
      <w:lvlText w:val="(%4)%5."/>
      <w:lvlJc w:val="left"/>
      <w:pPr>
        <w:tabs>
          <w:tab w:val="left" w:pos="1260"/>
        </w:tabs>
        <w:ind w:left="1979" w:hanging="278"/>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decimal"/>
      <w:suff w:val="nothing"/>
      <w:lvlText w:val="(%4)%5.%6."/>
      <w:lvlJc w:val="left"/>
      <w:pPr>
        <w:tabs>
          <w:tab w:val="left" w:pos="1260"/>
        </w:tabs>
        <w:ind w:left="2404" w:hanging="278"/>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suff w:val="nothing"/>
      <w:lvlText w:val="(%4)%5.%6.%7."/>
      <w:lvlJc w:val="left"/>
      <w:pPr>
        <w:tabs>
          <w:tab w:val="left" w:pos="1260"/>
        </w:tabs>
        <w:ind w:left="2829" w:hanging="278"/>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decimal"/>
      <w:suff w:val="nothing"/>
      <w:lvlText w:val="(%4)%5.%6.%7.%8."/>
      <w:lvlJc w:val="left"/>
      <w:pPr>
        <w:tabs>
          <w:tab w:val="left" w:pos="1260"/>
        </w:tabs>
        <w:ind w:left="3254" w:hanging="278"/>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decimal"/>
      <w:suff w:val="nothing"/>
      <w:lvlText w:val="(%4)%5.%6.%7.%8.%9."/>
      <w:lvlJc w:val="left"/>
      <w:pPr>
        <w:tabs>
          <w:tab w:val="left" w:pos="1260"/>
        </w:tabs>
        <w:ind w:left="368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6E6F60E8"/>
    <w:multiLevelType w:val="multilevel"/>
    <w:tmpl w:val="6E6F60E8"/>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pStyle w:val="32"/>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79260802"/>
    <w:multiLevelType w:val="multilevel"/>
    <w:tmpl w:val="7926080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0MDdhNGRjYjg1MDgxODIxNTI3MTQzYjNlYTc1MTEifQ=="/>
  </w:docVars>
  <w:rsids>
    <w:rsidRoot w:val="05192A75"/>
    <w:rsid w:val="00070D96"/>
    <w:rsid w:val="002156B5"/>
    <w:rsid w:val="00385E7D"/>
    <w:rsid w:val="0070679B"/>
    <w:rsid w:val="00826F5E"/>
    <w:rsid w:val="009F133D"/>
    <w:rsid w:val="009F4A3E"/>
    <w:rsid w:val="00B1245E"/>
    <w:rsid w:val="00B24117"/>
    <w:rsid w:val="00D074CA"/>
    <w:rsid w:val="00FF13DE"/>
    <w:rsid w:val="01FB235C"/>
    <w:rsid w:val="02986BEC"/>
    <w:rsid w:val="02C418AA"/>
    <w:rsid w:val="03AD13C0"/>
    <w:rsid w:val="05192A75"/>
    <w:rsid w:val="06651661"/>
    <w:rsid w:val="070943D3"/>
    <w:rsid w:val="09463911"/>
    <w:rsid w:val="0AF0679F"/>
    <w:rsid w:val="0B0168F9"/>
    <w:rsid w:val="0BE41BBC"/>
    <w:rsid w:val="0CDA06F5"/>
    <w:rsid w:val="0D910D7E"/>
    <w:rsid w:val="0D981B65"/>
    <w:rsid w:val="109E45A8"/>
    <w:rsid w:val="12491735"/>
    <w:rsid w:val="135B2D3B"/>
    <w:rsid w:val="14187EC0"/>
    <w:rsid w:val="142F27F1"/>
    <w:rsid w:val="15127C5A"/>
    <w:rsid w:val="168D4FBD"/>
    <w:rsid w:val="17247453"/>
    <w:rsid w:val="184A4AA5"/>
    <w:rsid w:val="19403552"/>
    <w:rsid w:val="196662D8"/>
    <w:rsid w:val="1BDE0896"/>
    <w:rsid w:val="1C511703"/>
    <w:rsid w:val="1C7E0128"/>
    <w:rsid w:val="1D756FD8"/>
    <w:rsid w:val="1D91344A"/>
    <w:rsid w:val="1EF32BE0"/>
    <w:rsid w:val="20C64B59"/>
    <w:rsid w:val="24762D5B"/>
    <w:rsid w:val="25BC5342"/>
    <w:rsid w:val="26BA351D"/>
    <w:rsid w:val="26CE0A58"/>
    <w:rsid w:val="272963A5"/>
    <w:rsid w:val="287A610D"/>
    <w:rsid w:val="28920BDE"/>
    <w:rsid w:val="28E051EA"/>
    <w:rsid w:val="29EF7E64"/>
    <w:rsid w:val="2BAF0DBA"/>
    <w:rsid w:val="2CA82752"/>
    <w:rsid w:val="2CBF0DFE"/>
    <w:rsid w:val="2CC03124"/>
    <w:rsid w:val="2E652751"/>
    <w:rsid w:val="2ED212DF"/>
    <w:rsid w:val="2EDD5526"/>
    <w:rsid w:val="2FDC18EE"/>
    <w:rsid w:val="300B7DB1"/>
    <w:rsid w:val="30246A80"/>
    <w:rsid w:val="311612A4"/>
    <w:rsid w:val="33031BE2"/>
    <w:rsid w:val="34CE74AB"/>
    <w:rsid w:val="358F4C83"/>
    <w:rsid w:val="35960D77"/>
    <w:rsid w:val="365F3A84"/>
    <w:rsid w:val="37001659"/>
    <w:rsid w:val="370A19C1"/>
    <w:rsid w:val="39D27393"/>
    <w:rsid w:val="3C92575D"/>
    <w:rsid w:val="3CA47B2D"/>
    <w:rsid w:val="3D5B27F8"/>
    <w:rsid w:val="3DEB4A20"/>
    <w:rsid w:val="3F0D4E6A"/>
    <w:rsid w:val="40770601"/>
    <w:rsid w:val="40C0618B"/>
    <w:rsid w:val="429B3C85"/>
    <w:rsid w:val="42C25AFB"/>
    <w:rsid w:val="42DB4C74"/>
    <w:rsid w:val="444A7FC7"/>
    <w:rsid w:val="44791CC6"/>
    <w:rsid w:val="44882C26"/>
    <w:rsid w:val="44C1768E"/>
    <w:rsid w:val="45467F62"/>
    <w:rsid w:val="45E9277B"/>
    <w:rsid w:val="464958EB"/>
    <w:rsid w:val="465E1519"/>
    <w:rsid w:val="486F624E"/>
    <w:rsid w:val="48C12F4D"/>
    <w:rsid w:val="48C47F1B"/>
    <w:rsid w:val="4BB2766B"/>
    <w:rsid w:val="4C165C58"/>
    <w:rsid w:val="4CF5766A"/>
    <w:rsid w:val="4D6E18FA"/>
    <w:rsid w:val="4E191136"/>
    <w:rsid w:val="4EDB38E7"/>
    <w:rsid w:val="4F6266B9"/>
    <w:rsid w:val="50AF6514"/>
    <w:rsid w:val="51DC029A"/>
    <w:rsid w:val="52BB00A7"/>
    <w:rsid w:val="545D4AA3"/>
    <w:rsid w:val="58527622"/>
    <w:rsid w:val="58694684"/>
    <w:rsid w:val="595464E0"/>
    <w:rsid w:val="599F6736"/>
    <w:rsid w:val="59EC5A68"/>
    <w:rsid w:val="5B4E18DD"/>
    <w:rsid w:val="5BF70434"/>
    <w:rsid w:val="5E290F95"/>
    <w:rsid w:val="5F187460"/>
    <w:rsid w:val="6131633F"/>
    <w:rsid w:val="61A2012B"/>
    <w:rsid w:val="621056AC"/>
    <w:rsid w:val="62BD6CED"/>
    <w:rsid w:val="6517227D"/>
    <w:rsid w:val="65726EA4"/>
    <w:rsid w:val="65C73676"/>
    <w:rsid w:val="692A077D"/>
    <w:rsid w:val="6A6B28C1"/>
    <w:rsid w:val="6A7A0BFA"/>
    <w:rsid w:val="6B3830B8"/>
    <w:rsid w:val="6B923E7E"/>
    <w:rsid w:val="6F801E6E"/>
    <w:rsid w:val="6FA711CF"/>
    <w:rsid w:val="6FA911B8"/>
    <w:rsid w:val="70D203DA"/>
    <w:rsid w:val="71E64A08"/>
    <w:rsid w:val="72E31672"/>
    <w:rsid w:val="73CC2623"/>
    <w:rsid w:val="74031145"/>
    <w:rsid w:val="742A636D"/>
    <w:rsid w:val="7506595D"/>
    <w:rsid w:val="771B01BE"/>
    <w:rsid w:val="777010D9"/>
    <w:rsid w:val="77CF49DB"/>
    <w:rsid w:val="78955B4A"/>
    <w:rsid w:val="796D0072"/>
    <w:rsid w:val="79BA6503"/>
    <w:rsid w:val="7AA92359"/>
    <w:rsid w:val="7AB43E11"/>
    <w:rsid w:val="7B8F26B5"/>
    <w:rsid w:val="7CF53AD9"/>
    <w:rsid w:val="7D034BDB"/>
    <w:rsid w:val="7E7538B7"/>
    <w:rsid w:val="7FAF3D47"/>
    <w:rsid w:val="7FFB1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6"/>
    <w:qFormat/>
    <w:uiPriority w:val="0"/>
    <w:pPr>
      <w:keepNext/>
      <w:spacing w:line="360" w:lineRule="auto"/>
      <w:jc w:val="center"/>
      <w:outlineLvl w:val="0"/>
    </w:pPr>
    <w:rPr>
      <w:rFonts w:ascii="Arial" w:hAnsi="Arial"/>
      <w:b/>
      <w:bCs/>
      <w:sz w:val="24"/>
      <w:szCs w:val="18"/>
    </w:rPr>
  </w:style>
  <w:style w:type="paragraph" w:styleId="3">
    <w:name w:val="heading 2"/>
    <w:basedOn w:val="1"/>
    <w:next w:val="4"/>
    <w:qFormat/>
    <w:uiPriority w:val="0"/>
    <w:pPr>
      <w:keepNext/>
      <w:keepLines/>
      <w:adjustRightInd w:val="0"/>
      <w:snapToGrid w:val="0"/>
      <w:spacing w:line="360" w:lineRule="auto"/>
      <w:jc w:val="center"/>
      <w:outlineLvl w:val="1"/>
    </w:pPr>
    <w:rPr>
      <w:rFonts w:ascii="宋体" w:hAnsi="Arial" w:cs="宋体"/>
      <w:sz w:val="32"/>
    </w:rPr>
  </w:style>
  <w:style w:type="paragraph" w:styleId="5">
    <w:name w:val="heading 3"/>
    <w:basedOn w:val="1"/>
    <w:next w:val="4"/>
    <w:qFormat/>
    <w:uiPriority w:val="0"/>
    <w:pPr>
      <w:tabs>
        <w:tab w:val="left" w:pos="851"/>
      </w:tabs>
      <w:autoSpaceDE w:val="0"/>
      <w:autoSpaceDN w:val="0"/>
      <w:adjustRightInd w:val="0"/>
      <w:snapToGrid w:val="0"/>
      <w:spacing w:line="360" w:lineRule="auto"/>
      <w:outlineLvl w:val="2"/>
    </w:pPr>
    <w:rPr>
      <w:rFonts w:ascii="宋体" w:cs="宋体"/>
    </w:rPr>
  </w:style>
  <w:style w:type="paragraph" w:styleId="6">
    <w:name w:val="heading 4"/>
    <w:basedOn w:val="1"/>
    <w:next w:val="4"/>
    <w:qFormat/>
    <w:uiPriority w:val="0"/>
    <w:pPr>
      <w:autoSpaceDE w:val="0"/>
      <w:autoSpaceDN w:val="0"/>
      <w:adjustRightInd w:val="0"/>
      <w:snapToGrid w:val="0"/>
      <w:spacing w:line="360" w:lineRule="auto"/>
      <w:outlineLvl w:val="3"/>
    </w:pPr>
    <w:rPr>
      <w:rFonts w:ascii="宋体" w:hAnsi="Arial" w:cs="宋体"/>
      <w:color w:val="000000"/>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7">
    <w:name w:val="Body Text"/>
    <w:basedOn w:val="1"/>
    <w:next w:val="8"/>
    <w:qFormat/>
    <w:uiPriority w:val="0"/>
    <w:pPr>
      <w:autoSpaceDE w:val="0"/>
      <w:autoSpaceDN w:val="0"/>
      <w:adjustRightInd w:val="0"/>
      <w:spacing w:line="240" w:lineRule="atLeast"/>
      <w:jc w:val="left"/>
    </w:pPr>
    <w:rPr>
      <w:rFonts w:ascii="Times New Roman" w:hAnsi="Times New Roman"/>
      <w:snapToGrid w:val="0"/>
      <w:kern w:val="0"/>
      <w:sz w:val="30"/>
      <w:szCs w:val="20"/>
    </w:rPr>
  </w:style>
  <w:style w:type="paragraph" w:styleId="8">
    <w:name w:val="Body Text First Indent"/>
    <w:basedOn w:val="7"/>
    <w:next w:val="9"/>
    <w:qFormat/>
    <w:uiPriority w:val="0"/>
    <w:pPr>
      <w:ind w:firstLine="420" w:firstLineChars="100"/>
    </w:pPr>
  </w:style>
  <w:style w:type="paragraph" w:customStyle="1" w:styleId="9">
    <w:name w:val="样式 正文首行缩进 + 宋体 小四 首行缩进:  1 字符"/>
    <w:basedOn w:val="1"/>
    <w:next w:val="1"/>
    <w:qFormat/>
    <w:uiPriority w:val="0"/>
    <w:pPr>
      <w:spacing w:after="120" w:line="360" w:lineRule="auto"/>
      <w:ind w:firstLine="150" w:firstLineChars="150"/>
    </w:pPr>
    <w:rPr>
      <w:rFonts w:ascii="宋体" w:hAnsi="宋体"/>
      <w:sz w:val="24"/>
      <w:szCs w:val="20"/>
    </w:rPr>
  </w:style>
  <w:style w:type="paragraph" w:styleId="10">
    <w:name w:val="Body Text Indent"/>
    <w:basedOn w:val="1"/>
    <w:qFormat/>
    <w:uiPriority w:val="0"/>
    <w:pPr>
      <w:ind w:left="420" w:leftChars="200" w:firstLine="420" w:firstLineChars="200"/>
    </w:pPr>
  </w:style>
  <w:style w:type="paragraph" w:styleId="11">
    <w:name w:val="Plain Text"/>
    <w:basedOn w:val="1"/>
    <w:qFormat/>
    <w:uiPriority w:val="0"/>
    <w:rPr>
      <w:rFonts w:ascii="宋体" w:hAnsi="Courier New"/>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6">
    <w:name w:val="标题 1 Char"/>
    <w:basedOn w:val="15"/>
    <w:link w:val="2"/>
    <w:qFormat/>
    <w:uiPriority w:val="0"/>
    <w:rPr>
      <w:rFonts w:ascii="Arial" w:hAnsi="Arial"/>
      <w:b/>
      <w:bCs/>
      <w:sz w:val="24"/>
      <w:szCs w:val="18"/>
    </w:rPr>
  </w:style>
  <w:style w:type="paragraph" w:styleId="17">
    <w:name w:val="List Paragraph"/>
    <w:basedOn w:val="18"/>
    <w:qFormat/>
    <w:uiPriority w:val="34"/>
    <w:pPr>
      <w:ind w:firstLine="420" w:firstLineChars="200"/>
    </w:pPr>
    <w:rPr>
      <w:rFonts w:ascii="Calibri" w:hAnsi="Calibri"/>
      <w:szCs w:val="22"/>
    </w:rPr>
  </w:style>
  <w:style w:type="paragraph" w:customStyle="1" w:styleId="18">
    <w:name w:val="正文_6"/>
    <w:qFormat/>
    <w:uiPriority w:val="0"/>
    <w:rPr>
      <w:rFonts w:ascii="Times New Roman" w:hAnsi="Times New Roman" w:eastAsia="宋体" w:cs="Times New Roman"/>
      <w:sz w:val="21"/>
      <w:lang w:val="en-US" w:eastAsia="zh-CN" w:bidi="ar-SA"/>
    </w:rPr>
  </w:style>
  <w:style w:type="paragraph" w:customStyle="1" w:styleId="19">
    <w:name w:val="n_p_lineheight"/>
    <w:basedOn w:val="1"/>
    <w:qFormat/>
    <w:uiPriority w:val="0"/>
    <w:pPr>
      <w:widowControl/>
      <w:jc w:val="left"/>
    </w:pPr>
    <w:rPr>
      <w:rFonts w:ascii="宋体" w:hAnsi="宋体" w:cs="宋体"/>
      <w:kern w:val="0"/>
      <w:sz w:val="24"/>
    </w:rPr>
  </w:style>
  <w:style w:type="paragraph" w:customStyle="1" w:styleId="20">
    <w:name w:val="Default"/>
    <w:qFormat/>
    <w:uiPriority w:val="0"/>
    <w:pPr>
      <w:widowControl w:val="0"/>
      <w:autoSpaceDE w:val="0"/>
      <w:autoSpaceDN w:val="0"/>
      <w:adjustRightInd w:val="0"/>
    </w:pPr>
    <w:rPr>
      <w:rFonts w:ascii="PMingLiU" w:hAnsi="PMingLiU" w:eastAsia="PMingLiU" w:cs="Times New Roman"/>
      <w:color w:val="000000"/>
      <w:sz w:val="22"/>
      <w:szCs w:val="24"/>
      <w:lang w:val="en-US" w:eastAsia="zh-CN" w:bidi="ar-SA"/>
    </w:rPr>
  </w:style>
  <w:style w:type="paragraph" w:customStyle="1" w:styleId="21">
    <w:name w:val="大标题"/>
    <w:basedOn w:val="2"/>
    <w:qFormat/>
    <w:uiPriority w:val="0"/>
    <w:rPr>
      <w:rFonts w:ascii="宋体"/>
      <w:snapToGrid w:val="0"/>
      <w:kern w:val="0"/>
      <w:sz w:val="52"/>
      <w:szCs w:val="72"/>
    </w:rPr>
  </w:style>
  <w:style w:type="paragraph" w:customStyle="1" w:styleId="22">
    <w:name w:val="xl29"/>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23">
    <w:name w:val="标准"/>
    <w:basedOn w:val="1"/>
    <w:qFormat/>
    <w:uiPriority w:val="0"/>
    <w:pPr>
      <w:overflowPunct w:val="0"/>
      <w:autoSpaceDE w:val="0"/>
      <w:autoSpaceDN w:val="0"/>
      <w:adjustRightInd w:val="0"/>
      <w:spacing w:line="240" w:lineRule="atLeast"/>
      <w:textAlignment w:val="baseline"/>
    </w:pPr>
    <w:rPr>
      <w:rFonts w:eastAsia="楷体_GB2312"/>
      <w:kern w:val="0"/>
      <w:sz w:val="24"/>
      <w:szCs w:val="20"/>
    </w:rPr>
  </w:style>
  <w:style w:type="paragraph" w:customStyle="1" w:styleId="24">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25">
    <w:name w:val="正文_0_1"/>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customStyle="1" w:styleId="26">
    <w:name w:val="p141"/>
    <w:qFormat/>
    <w:uiPriority w:val="0"/>
    <w:rPr>
      <w:sz w:val="21"/>
      <w:szCs w:val="21"/>
    </w:rPr>
  </w:style>
  <w:style w:type="paragraph" w:customStyle="1" w:styleId="2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8">
    <w:name w:val="p141_0"/>
    <w:qFormat/>
    <w:uiPriority w:val="0"/>
    <w:rPr>
      <w:rFonts w:ascii="Calibri" w:hAnsi="Calibri"/>
      <w:sz w:val="21"/>
      <w:szCs w:val="21"/>
    </w:rPr>
  </w:style>
  <w:style w:type="paragraph" w:customStyle="1" w:styleId="29">
    <w:name w:val="正文1"/>
    <w:qFormat/>
    <w:uiPriority w:val="0"/>
    <w:pPr>
      <w:widowControl w:val="0"/>
      <w:jc w:val="both"/>
    </w:pPr>
    <w:rPr>
      <w:rFonts w:hint="eastAsia" w:ascii="Calibri" w:hAnsi="Calibri" w:eastAsia="宋体" w:cs="Times New Roman"/>
      <w:kern w:val="2"/>
      <w:sz w:val="21"/>
      <w:lang w:val="en-US" w:eastAsia="zh-CN" w:bidi="ar-SA"/>
    </w:rPr>
  </w:style>
  <w:style w:type="paragraph" w:customStyle="1" w:styleId="30">
    <w:name w:val="纯文本_0"/>
    <w:basedOn w:val="31"/>
    <w:unhideWhenUsed/>
    <w:qFormat/>
    <w:uiPriority w:val="0"/>
    <w:pPr>
      <w:widowControl/>
      <w:jc w:val="left"/>
    </w:pPr>
    <w:rPr>
      <w:rFonts w:ascii="宋体" w:hAnsi="Courier New"/>
      <w:kern w:val="0"/>
      <w:sz w:val="20"/>
      <w:szCs w:val="21"/>
    </w:rPr>
  </w:style>
  <w:style w:type="paragraph" w:customStyle="1" w:styleId="31">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
    <w:name w:val="标题 3_0"/>
    <w:basedOn w:val="31"/>
    <w:next w:val="31"/>
    <w:unhideWhenUsed/>
    <w:qFormat/>
    <w:uiPriority w:val="9"/>
    <w:pPr>
      <w:keepNext/>
      <w:keepLines/>
      <w:numPr>
        <w:ilvl w:val="2"/>
        <w:numId w:val="1"/>
      </w:numPr>
      <w:spacing w:before="260" w:after="260" w:line="416" w:lineRule="auto"/>
      <w:outlineLvl w:val="2"/>
    </w:pPr>
    <w:rPr>
      <w:b/>
      <w:bCs/>
      <w:kern w:val="0"/>
      <w:sz w:val="32"/>
      <w:szCs w:val="32"/>
    </w:rPr>
  </w:style>
  <w:style w:type="paragraph" w:customStyle="1" w:styleId="33">
    <w:name w:val="纯文本_0_0"/>
    <w:basedOn w:val="34"/>
    <w:unhideWhenUsed/>
    <w:qFormat/>
    <w:uiPriority w:val="0"/>
    <w:pPr>
      <w:widowControl/>
      <w:jc w:val="left"/>
    </w:pPr>
    <w:rPr>
      <w:rFonts w:ascii="宋体" w:hAnsi="Courier New"/>
      <w:kern w:val="0"/>
      <w:sz w:val="20"/>
      <w:szCs w:val="21"/>
    </w:rPr>
  </w:style>
  <w:style w:type="paragraph" w:customStyle="1" w:styleId="34">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
    <w:name w:val="1_0"/>
    <w:basedOn w:val="36"/>
    <w:next w:val="37"/>
    <w:qFormat/>
    <w:uiPriority w:val="0"/>
    <w:pPr>
      <w:widowControl w:val="0"/>
      <w:jc w:val="both"/>
    </w:pPr>
    <w:rPr>
      <w:rFonts w:ascii="宋体" w:hAnsi="Courier New"/>
      <w:kern w:val="2"/>
    </w:rPr>
  </w:style>
  <w:style w:type="paragraph" w:customStyle="1" w:styleId="36">
    <w:name w:val="Normal_5"/>
    <w:qFormat/>
    <w:uiPriority w:val="0"/>
    <w:rPr>
      <w:rFonts w:ascii="Times New Roman" w:hAnsi="Times New Roman" w:eastAsia="宋体" w:cs="Times New Roman"/>
      <w:sz w:val="21"/>
      <w:lang w:val="en-US" w:eastAsia="zh-CN" w:bidi="ar-SA"/>
    </w:rPr>
  </w:style>
  <w:style w:type="paragraph" w:customStyle="1" w:styleId="37">
    <w:name w:val="纯文本1"/>
    <w:basedOn w:val="36"/>
    <w:qFormat/>
    <w:uiPriority w:val="0"/>
    <w:rPr>
      <w:rFonts w:ascii="宋体" w:hAnsi="Courier New" w:cs="Courier New"/>
      <w:kern w:val="2"/>
      <w:szCs w:val="21"/>
    </w:rPr>
  </w:style>
  <w:style w:type="paragraph" w:customStyle="1" w:styleId="38">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9">
    <w:name w:val="正文_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Normal_7"/>
    <w:qFormat/>
    <w:uiPriority w:val="0"/>
    <w:rPr>
      <w:rFonts w:ascii="Times New Roman" w:hAnsi="Times New Roman" w:eastAsia="Times New Roman" w:cs="Times New Roman"/>
      <w:sz w:val="24"/>
      <w:szCs w:val="24"/>
      <w:lang w:val="en-US" w:eastAsia="zh-CN" w:bidi="ar-SA"/>
    </w:rPr>
  </w:style>
  <w:style w:type="table" w:customStyle="1" w:styleId="41">
    <w:name w:val="Table 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rPr>
    <w:tblPr>
      <w:tblCellMar>
        <w:top w:w="0" w:type="dxa"/>
        <w:left w:w="0" w:type="dxa"/>
        <w:bottom w:w="0" w:type="dxa"/>
        <w:right w:w="0" w:type="dxa"/>
      </w:tblCellMar>
    </w:tblPr>
  </w:style>
  <w:style w:type="paragraph" w:customStyle="1" w:styleId="42">
    <w:name w:val="正文 A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Times New Roman" w:cs="Times New Roman"/>
      <w:color w:val="000000"/>
      <w:kern w:val="2"/>
      <w:sz w:val="21"/>
      <w:szCs w:val="21"/>
      <w:u w:color="000000"/>
      <w:lang w:val="en-US" w:eastAsia="zh-CN" w:bidi="ar-SA"/>
    </w:rPr>
  </w:style>
  <w:style w:type="paragraph" w:customStyle="1" w:styleId="43">
    <w:name w:val="正文 B"/>
    <w:qFormat/>
    <w:uiPriority w:val="0"/>
    <w:pPr>
      <w:pBdr>
        <w:top w:val="none" w:color="auto" w:sz="0" w:space="0"/>
        <w:left w:val="none" w:color="auto" w:sz="0" w:space="0"/>
        <w:bottom w:val="none" w:color="auto" w:sz="0" w:space="0"/>
        <w:right w:val="none" w:color="auto" w:sz="0" w:space="0"/>
        <w:between w:val="none" w:color="auto" w:sz="0" w:space="0"/>
      </w:pBdr>
    </w:pPr>
    <w:rPr>
      <w:rFonts w:ascii="Helvetica" w:hAnsi="Helvetica" w:eastAsia="Helvetica" w:cs="Helvetica"/>
      <w:color w:val="000000"/>
      <w:sz w:val="22"/>
      <w:szCs w:val="22"/>
      <w:u w:color="000000"/>
      <w:lang w:val="zh-TW" w:eastAsia="zh-TW" w:bidi="ar-SA"/>
    </w:rPr>
  </w:style>
  <w:style w:type="paragraph" w:customStyle="1" w:styleId="44">
    <w:name w:val="默认"/>
    <w:qFormat/>
    <w:uiPriority w:val="0"/>
    <w:pPr>
      <w:pBdr>
        <w:top w:val="none" w:color="auto" w:sz="0" w:space="0"/>
        <w:left w:val="none" w:color="auto" w:sz="0" w:space="0"/>
        <w:bottom w:val="none" w:color="auto" w:sz="0" w:space="0"/>
        <w:right w:val="none" w:color="auto" w:sz="0" w:space="0"/>
        <w:between w:val="none" w:color="auto" w:sz="0" w:space="0"/>
      </w:pBdr>
    </w:pPr>
    <w:rPr>
      <w:rFonts w:ascii="Helvetica" w:hAnsi="Helvetica" w:eastAsia="Helvetica" w:cs="Helvetica"/>
      <w:color w:val="000000"/>
      <w:sz w:val="22"/>
      <w:szCs w:val="22"/>
      <w:u w:color="000000"/>
      <w:lang w:val="zh-TW" w:eastAsia="zh-TW" w:bidi="ar-SA"/>
    </w:rPr>
  </w:style>
  <w:style w:type="paragraph" w:customStyle="1" w:styleId="45">
    <w:name w:val="正文_1_0"/>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Times New Roman" w:cs="Times New Roman"/>
      <w:color w:val="000000"/>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19534</Words>
  <Characters>20730</Characters>
  <Lines>169</Lines>
  <Paragraphs>47</Paragraphs>
  <TotalTime>386</TotalTime>
  <ScaleCrop>false</ScaleCrop>
  <LinksUpToDate>false</LinksUpToDate>
  <CharactersWithSpaces>21610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2023-04-17T02:22:00Z</dcterms:created>
  <dc:creator>Administrator</dc:creator>
  <cp:lastModifiedBy>花师奶</cp:lastModifiedBy>
  <cp:lastPrinted>2023-04-18T03:29:57Z</cp:lastPrinted>
  <dcterms:modified xsi:type="dcterms:W3CDTF">2023-04-18T06:00:45Z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BB7825BBC7C44C679207DC0397048040</vt:lpwstr>
  </property>
</Properties>
</file>